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9AAD" w14:textId="4F459CB2" w:rsidR="00A84DB9" w:rsidRPr="00B802FD" w:rsidRDefault="00B802FD" w:rsidP="00FE5621">
      <w:pPr>
        <w:spacing w:after="240"/>
        <w:jc w:val="center"/>
        <w:rPr>
          <w:rFonts w:ascii="Book Antiqua" w:hAnsi="Book Antiqua"/>
          <w:b/>
          <w:color w:val="000000"/>
          <w:sz w:val="26"/>
          <w:szCs w:val="26"/>
          <w:lang w:val="es-ES"/>
        </w:rPr>
      </w:pPr>
      <w:bookmarkStart w:id="0" w:name="_Hlk183172570"/>
      <w:r w:rsidRPr="00B802FD">
        <w:rPr>
          <w:rFonts w:ascii="Book Antiqua" w:hAnsi="Book Antiqua"/>
          <w:b/>
          <w:color w:val="000000"/>
          <w:sz w:val="26"/>
          <w:szCs w:val="26"/>
          <w:lang w:val="es-ES"/>
        </w:rPr>
        <w:t>Asociación entre inteligencia emocional y comunicación interna en trabajadores de un establecimiento de salud de San Martín, Perú</w:t>
      </w:r>
    </w:p>
    <w:bookmarkEnd w:id="0"/>
    <w:p w14:paraId="21BF9FE3" w14:textId="264A6BCA" w:rsidR="00856EE9" w:rsidRPr="00A84DB9" w:rsidRDefault="00B802FD" w:rsidP="00531894">
      <w:pPr>
        <w:spacing w:after="240"/>
        <w:jc w:val="center"/>
        <w:rPr>
          <w:rFonts w:ascii="Book Antiqua" w:hAnsi="Book Antiqua"/>
          <w:b/>
          <w:sz w:val="26"/>
          <w:szCs w:val="26"/>
          <w:lang w:val="en-US"/>
        </w:rPr>
      </w:pPr>
      <w:r w:rsidRPr="00B802FD">
        <w:rPr>
          <w:rFonts w:ascii="Book Antiqua" w:hAnsi="Book Antiqua"/>
          <w:b/>
          <w:sz w:val="26"/>
          <w:szCs w:val="26"/>
          <w:lang w:val="en-US"/>
        </w:rPr>
        <w:t>Association Between Emotional Intelligence and Internal Communication Among Workers at a Healthcare Facility in San Martín, Peru</w:t>
      </w:r>
    </w:p>
    <w:p w14:paraId="3E78CFAA" w14:textId="528D8789" w:rsidR="00DD7CD4" w:rsidRPr="00B4779C" w:rsidRDefault="00062734" w:rsidP="00DD7CD4">
      <w:pPr>
        <w:pStyle w:val="author"/>
        <w:spacing w:before="240" w:after="240"/>
        <w:rPr>
          <w:rFonts w:ascii="Book Antiqua" w:hAnsi="Book Antiqua"/>
          <w:sz w:val="21"/>
          <w:szCs w:val="21"/>
          <w:lang w:val="es-PE"/>
        </w:rPr>
      </w:pPr>
      <w:r w:rsidRPr="00B802FD">
        <w:rPr>
          <w:rFonts w:ascii="Book Antiqua" w:hAnsi="Book Antiqua"/>
          <w:sz w:val="21"/>
          <w:szCs w:val="21"/>
          <w:lang w:val="es-PE"/>
        </w:rPr>
        <w:t>Cynthia Pamela Vera-Gutiérrez</w:t>
      </w:r>
      <w:r w:rsidRPr="00B4779C">
        <w:rPr>
          <w:rFonts w:ascii="Book Antiqua" w:hAnsi="Book Antiqua"/>
          <w:sz w:val="21"/>
          <w:szCs w:val="21"/>
          <w:vertAlign w:val="superscript"/>
          <w:lang w:val="es-PE"/>
        </w:rPr>
        <w:t>1</w:t>
      </w:r>
      <w:r w:rsidRPr="00B4779C">
        <w:rPr>
          <w:rFonts w:ascii="Book Antiqua" w:hAnsi="Book Antiqua"/>
          <w:i/>
          <w:noProof/>
          <w:color w:val="231F20"/>
          <w:spacing w:val="-11"/>
          <w:sz w:val="21"/>
          <w:szCs w:val="21"/>
          <w:vertAlign w:val="superscript"/>
          <w:lang w:val="es-PE" w:eastAsia="es-PE"/>
        </w:rPr>
        <w:drawing>
          <wp:inline distT="0" distB="0" distL="0" distR="0" wp14:anchorId="0E2F07A7" wp14:editId="3D4539C1">
            <wp:extent cx="121285" cy="121285"/>
            <wp:effectExtent l="0" t="0" r="0" b="0"/>
            <wp:docPr id="1710932664" name="image8.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95103" name="image8.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285" cy="121285"/>
                    </a:xfrm>
                    <a:prstGeom prst="rect">
                      <a:avLst/>
                    </a:prstGeom>
                    <a:noFill/>
                    <a:ln>
                      <a:noFill/>
                    </a:ln>
                  </pic:spPr>
                </pic:pic>
              </a:graphicData>
            </a:graphic>
          </wp:inline>
        </w:drawing>
      </w:r>
      <w:r>
        <w:rPr>
          <w:rFonts w:ascii="Book Antiqua" w:hAnsi="Book Antiqua"/>
          <w:sz w:val="21"/>
          <w:szCs w:val="21"/>
          <w:lang w:val="es-PE"/>
        </w:rPr>
        <w:t xml:space="preserve">; </w:t>
      </w:r>
      <w:r w:rsidRPr="00062734">
        <w:rPr>
          <w:rFonts w:ascii="Book Antiqua" w:hAnsi="Book Antiqua"/>
          <w:sz w:val="21"/>
          <w:szCs w:val="21"/>
          <w:lang w:val="es-PE"/>
        </w:rPr>
        <w:t>Mónica Elisa Meneses</w:t>
      </w:r>
      <w:r>
        <w:rPr>
          <w:rFonts w:ascii="Book Antiqua" w:hAnsi="Book Antiqua"/>
          <w:sz w:val="21"/>
          <w:szCs w:val="21"/>
          <w:lang w:val="es-PE"/>
        </w:rPr>
        <w:t>-</w:t>
      </w:r>
      <w:r w:rsidRPr="00062734">
        <w:rPr>
          <w:rFonts w:ascii="Book Antiqua" w:hAnsi="Book Antiqua"/>
          <w:sz w:val="21"/>
          <w:szCs w:val="21"/>
          <w:lang w:val="es-PE"/>
        </w:rPr>
        <w:t>La</w:t>
      </w:r>
      <w:r>
        <w:rPr>
          <w:rFonts w:ascii="Book Antiqua" w:hAnsi="Book Antiqua"/>
          <w:sz w:val="21"/>
          <w:szCs w:val="21"/>
          <w:lang w:val="es-PE"/>
        </w:rPr>
        <w:t>-</w:t>
      </w:r>
      <w:r w:rsidRPr="00062734">
        <w:rPr>
          <w:rFonts w:ascii="Book Antiqua" w:hAnsi="Book Antiqua"/>
          <w:sz w:val="21"/>
          <w:szCs w:val="21"/>
          <w:lang w:val="es-PE"/>
        </w:rPr>
        <w:t>Rivas</w:t>
      </w:r>
      <w:r w:rsidRPr="00B4779C">
        <w:rPr>
          <w:rFonts w:ascii="Book Antiqua" w:hAnsi="Book Antiqua"/>
          <w:sz w:val="21"/>
          <w:szCs w:val="21"/>
          <w:vertAlign w:val="superscript"/>
          <w:lang w:val="es-PE"/>
        </w:rPr>
        <w:t>1</w:t>
      </w:r>
      <w:r w:rsidRPr="00B4779C">
        <w:rPr>
          <w:rFonts w:ascii="Book Antiqua" w:hAnsi="Book Antiqua"/>
          <w:i/>
          <w:noProof/>
          <w:color w:val="231F20"/>
          <w:spacing w:val="-11"/>
          <w:sz w:val="21"/>
          <w:szCs w:val="21"/>
          <w:vertAlign w:val="superscript"/>
          <w:lang w:val="es-PE" w:eastAsia="es-PE"/>
        </w:rPr>
        <w:drawing>
          <wp:inline distT="0" distB="0" distL="0" distR="0" wp14:anchorId="2F269821" wp14:editId="2907B025">
            <wp:extent cx="121285" cy="121285"/>
            <wp:effectExtent l="0" t="0" r="0" b="0"/>
            <wp:docPr id="455951612" name="image8.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51612" name="image8.png">
                      <a:hlinkClick r:id="rId10"/>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285" cy="121285"/>
                    </a:xfrm>
                    <a:prstGeom prst="rect">
                      <a:avLst/>
                    </a:prstGeom>
                    <a:noFill/>
                    <a:ln>
                      <a:noFill/>
                    </a:ln>
                  </pic:spPr>
                </pic:pic>
              </a:graphicData>
            </a:graphic>
          </wp:inline>
        </w:drawing>
      </w:r>
      <w:r>
        <w:rPr>
          <w:rFonts w:ascii="Book Antiqua" w:hAnsi="Book Antiqua"/>
          <w:sz w:val="21"/>
          <w:szCs w:val="21"/>
          <w:lang w:val="es-PE"/>
        </w:rPr>
        <w:t xml:space="preserve">; </w:t>
      </w:r>
      <w:r w:rsidRPr="00062734">
        <w:rPr>
          <w:rFonts w:ascii="Book Antiqua" w:hAnsi="Book Antiqua"/>
          <w:sz w:val="21"/>
          <w:szCs w:val="21"/>
          <w:lang w:val="es-PE"/>
        </w:rPr>
        <w:t>Sara Edith Castillo</w:t>
      </w:r>
      <w:r>
        <w:rPr>
          <w:rFonts w:ascii="Book Antiqua" w:hAnsi="Book Antiqua"/>
          <w:sz w:val="21"/>
          <w:szCs w:val="21"/>
          <w:lang w:val="es-PE"/>
        </w:rPr>
        <w:t>-</w:t>
      </w:r>
      <w:r w:rsidRPr="00062734">
        <w:rPr>
          <w:rFonts w:ascii="Book Antiqua" w:hAnsi="Book Antiqua"/>
          <w:sz w:val="21"/>
          <w:szCs w:val="21"/>
          <w:lang w:val="es-PE"/>
        </w:rPr>
        <w:t>Olsson</w:t>
      </w:r>
      <w:r w:rsidR="00BE4C98" w:rsidRPr="00B4779C">
        <w:rPr>
          <w:rFonts w:ascii="Book Antiqua" w:hAnsi="Book Antiqua"/>
          <w:sz w:val="21"/>
          <w:szCs w:val="21"/>
          <w:vertAlign w:val="superscript"/>
          <w:lang w:val="es-PE"/>
        </w:rPr>
        <w:t>1</w:t>
      </w:r>
      <w:r w:rsidR="00BE4C98" w:rsidRPr="00B4779C">
        <w:rPr>
          <w:rFonts w:ascii="Book Antiqua" w:hAnsi="Book Antiqua"/>
          <w:sz w:val="21"/>
          <w:szCs w:val="21"/>
          <w:lang w:val="es-PE"/>
        </w:rPr>
        <w:t>*</w:t>
      </w:r>
      <w:r w:rsidR="006C7AE6" w:rsidRPr="00B4779C">
        <w:rPr>
          <w:rFonts w:ascii="Book Antiqua" w:hAnsi="Book Antiqua"/>
          <w:i/>
          <w:noProof/>
          <w:color w:val="231F20"/>
          <w:spacing w:val="-11"/>
          <w:sz w:val="21"/>
          <w:szCs w:val="21"/>
          <w:vertAlign w:val="superscript"/>
          <w:lang w:val="es-PE" w:eastAsia="es-PE"/>
        </w:rPr>
        <w:drawing>
          <wp:inline distT="0" distB="0" distL="0" distR="0" wp14:anchorId="60FDEF7F" wp14:editId="26FD46D2">
            <wp:extent cx="121285" cy="121285"/>
            <wp:effectExtent l="0" t="0" r="0" b="0"/>
            <wp:docPr id="1872395103" name="image8.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95103" name="image8.png">
                      <a:hlinkClick r:id="rId11"/>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285" cy="121285"/>
                    </a:xfrm>
                    <a:prstGeom prst="rect">
                      <a:avLst/>
                    </a:prstGeom>
                    <a:noFill/>
                    <a:ln>
                      <a:noFill/>
                    </a:ln>
                  </pic:spPr>
                </pic:pic>
              </a:graphicData>
            </a:graphic>
          </wp:inline>
        </w:drawing>
      </w:r>
      <w:hyperlink r:id="rId12" w:history="1"/>
      <w:hyperlink r:id="rId13" w:history="1"/>
    </w:p>
    <w:p w14:paraId="06FB9541" w14:textId="6B6366F9" w:rsidR="009957F5" w:rsidRPr="00B4779C" w:rsidRDefault="009957F5" w:rsidP="00DD7CD4">
      <w:pPr>
        <w:pStyle w:val="author"/>
        <w:spacing w:before="240" w:after="240"/>
        <w:rPr>
          <w:rFonts w:ascii="Book Antiqua" w:hAnsi="Book Antiqua"/>
          <w:sz w:val="21"/>
          <w:szCs w:val="21"/>
          <w:lang w:val="es-PE"/>
        </w:rPr>
        <w:sectPr w:rsidR="009957F5" w:rsidRPr="00B4779C" w:rsidSect="000107DF">
          <w:headerReference w:type="even" r:id="rId14"/>
          <w:headerReference w:type="default" r:id="rId15"/>
          <w:footerReference w:type="even" r:id="rId16"/>
          <w:footerReference w:type="default" r:id="rId17"/>
          <w:pgSz w:w="11906" w:h="16838" w:code="9"/>
          <w:pgMar w:top="1701" w:right="1701" w:bottom="1701" w:left="1701" w:header="850" w:footer="454" w:gutter="0"/>
          <w:pgNumType w:start="15"/>
          <w:cols w:space="708"/>
          <w:docGrid w:linePitch="360"/>
        </w:sectPr>
      </w:pPr>
    </w:p>
    <w:p w14:paraId="7C99A3EB" w14:textId="2EDD8B34" w:rsidR="00AD4729" w:rsidRDefault="00426D3D" w:rsidP="007C35D1">
      <w:pPr>
        <w:spacing w:after="0" w:line="240" w:lineRule="auto"/>
        <w:rPr>
          <w:rFonts w:ascii="Book Antiqua" w:hAnsi="Book Antiqua"/>
          <w:color w:val="000000"/>
          <w:sz w:val="18"/>
          <w:szCs w:val="18"/>
        </w:rPr>
      </w:pPr>
      <w:r w:rsidRPr="00DD7CD4">
        <w:rPr>
          <w:rFonts w:ascii="Book Antiqua" w:hAnsi="Book Antiqua"/>
          <w:color w:val="000000"/>
          <w:sz w:val="18"/>
          <w:szCs w:val="18"/>
          <w:vertAlign w:val="superscript"/>
        </w:rPr>
        <w:t>1</w:t>
      </w:r>
      <w:r w:rsidR="00C70B73" w:rsidRPr="00C70B73">
        <w:rPr>
          <w:rFonts w:ascii="Book Antiqua" w:hAnsi="Book Antiqua"/>
          <w:color w:val="000000"/>
          <w:sz w:val="18"/>
          <w:szCs w:val="18"/>
        </w:rPr>
        <w:t>Universidad César Vallejo,</w:t>
      </w:r>
      <w:r w:rsidR="00B7607B">
        <w:rPr>
          <w:rFonts w:ascii="Book Antiqua" w:hAnsi="Book Antiqua"/>
          <w:color w:val="000000"/>
          <w:sz w:val="18"/>
          <w:szCs w:val="18"/>
        </w:rPr>
        <w:t xml:space="preserve"> </w:t>
      </w:r>
      <w:r w:rsidR="00062734">
        <w:rPr>
          <w:rFonts w:ascii="Book Antiqua" w:hAnsi="Book Antiqua"/>
          <w:color w:val="000000"/>
          <w:sz w:val="18"/>
          <w:szCs w:val="18"/>
        </w:rPr>
        <w:t xml:space="preserve">Lima, </w:t>
      </w:r>
      <w:r w:rsidR="00C70B73" w:rsidRPr="00C70B73">
        <w:rPr>
          <w:rFonts w:ascii="Book Antiqua" w:hAnsi="Book Antiqua"/>
          <w:color w:val="000000"/>
          <w:sz w:val="18"/>
          <w:szCs w:val="18"/>
        </w:rPr>
        <w:t>Perú</w:t>
      </w:r>
    </w:p>
    <w:p w14:paraId="2D326F40" w14:textId="77777777" w:rsidR="00AD4729" w:rsidRPr="00E660A4" w:rsidRDefault="00AD4729" w:rsidP="00AD4729">
      <w:pPr>
        <w:spacing w:after="0" w:line="240" w:lineRule="auto"/>
        <w:jc w:val="left"/>
        <w:rPr>
          <w:rFonts w:ascii="Book Antiqua" w:hAnsi="Book Antiqua"/>
          <w:sz w:val="18"/>
          <w:szCs w:val="18"/>
        </w:rPr>
      </w:pPr>
    </w:p>
    <w:p w14:paraId="02E2ADEA" w14:textId="77777777" w:rsidR="00347FAF" w:rsidRPr="00E660A4" w:rsidRDefault="00347FAF" w:rsidP="00AD4729">
      <w:pPr>
        <w:spacing w:after="0" w:line="240" w:lineRule="auto"/>
        <w:jc w:val="left"/>
        <w:rPr>
          <w:rFonts w:ascii="Book Antiqua" w:hAnsi="Book Antiqua"/>
          <w:sz w:val="18"/>
          <w:szCs w:val="18"/>
        </w:rPr>
      </w:pPr>
    </w:p>
    <w:p w14:paraId="420AEFB4" w14:textId="7A1359B9" w:rsidR="00DA2FB6" w:rsidRPr="004D04B7" w:rsidRDefault="00BA6CA9" w:rsidP="00DA2FB6">
      <w:pPr>
        <w:spacing w:after="0" w:line="240" w:lineRule="auto"/>
        <w:ind w:left="720" w:firstLine="720"/>
        <w:jc w:val="left"/>
        <w:rPr>
          <w:rFonts w:ascii="Book Antiqua" w:hAnsi="Book Antiqua"/>
          <w:color w:val="000000"/>
          <w:sz w:val="18"/>
          <w:szCs w:val="18"/>
        </w:rPr>
      </w:pPr>
      <w:r w:rsidRPr="00E660A4">
        <w:rPr>
          <w:rFonts w:ascii="Book Antiqua" w:hAnsi="Book Antiqua"/>
          <w:sz w:val="18"/>
          <w:szCs w:val="18"/>
        </w:rPr>
        <w:t xml:space="preserve">               </w:t>
      </w:r>
      <w:r w:rsidR="00DA2FB6" w:rsidRPr="004D04B7">
        <w:rPr>
          <w:rFonts w:ascii="Book Antiqua" w:hAnsi="Book Antiqua"/>
          <w:sz w:val="18"/>
          <w:szCs w:val="18"/>
        </w:rPr>
        <w:t xml:space="preserve">Recibido: </w:t>
      </w:r>
      <w:r w:rsidR="004D04B7" w:rsidRPr="004D04B7">
        <w:rPr>
          <w:rFonts w:ascii="Book Antiqua" w:hAnsi="Book Antiqua"/>
          <w:sz w:val="18"/>
          <w:szCs w:val="18"/>
        </w:rPr>
        <w:t>23</w:t>
      </w:r>
      <w:r w:rsidR="00DA2FB6" w:rsidRPr="004D04B7">
        <w:rPr>
          <w:rFonts w:ascii="Book Antiqua" w:hAnsi="Book Antiqua"/>
          <w:sz w:val="18"/>
          <w:szCs w:val="18"/>
        </w:rPr>
        <w:t>/0</w:t>
      </w:r>
      <w:r w:rsidR="004D04B7" w:rsidRPr="004D04B7">
        <w:rPr>
          <w:rFonts w:ascii="Book Antiqua" w:hAnsi="Book Antiqua"/>
          <w:sz w:val="18"/>
          <w:szCs w:val="18"/>
        </w:rPr>
        <w:t>3</w:t>
      </w:r>
      <w:r w:rsidR="00DA2FB6" w:rsidRPr="004D04B7">
        <w:rPr>
          <w:rFonts w:ascii="Book Antiqua" w:hAnsi="Book Antiqua"/>
          <w:sz w:val="18"/>
          <w:szCs w:val="18"/>
        </w:rPr>
        <w:t>/202</w:t>
      </w:r>
      <w:r w:rsidR="004D04B7" w:rsidRPr="004D04B7">
        <w:rPr>
          <w:rFonts w:ascii="Book Antiqua" w:hAnsi="Book Antiqua"/>
          <w:sz w:val="18"/>
          <w:szCs w:val="18"/>
        </w:rPr>
        <w:t>6</w:t>
      </w:r>
    </w:p>
    <w:p w14:paraId="389AB045" w14:textId="762A05D4" w:rsidR="00DA2FB6" w:rsidRPr="004D04B7" w:rsidRDefault="00DA2FB6" w:rsidP="00DA2FB6">
      <w:pPr>
        <w:spacing w:after="0" w:line="240" w:lineRule="auto"/>
        <w:ind w:right="70"/>
        <w:jc w:val="left"/>
        <w:rPr>
          <w:rFonts w:ascii="Book Antiqua" w:hAnsi="Book Antiqua"/>
          <w:sz w:val="18"/>
          <w:szCs w:val="18"/>
        </w:rPr>
      </w:pPr>
      <w:r w:rsidRPr="004D04B7">
        <w:rPr>
          <w:rFonts w:ascii="Book Antiqua" w:hAnsi="Book Antiqua"/>
          <w:sz w:val="18"/>
          <w:szCs w:val="18"/>
        </w:rPr>
        <w:t xml:space="preserve">   </w:t>
      </w:r>
      <w:r w:rsidRPr="004D04B7">
        <w:rPr>
          <w:rFonts w:ascii="Book Antiqua" w:hAnsi="Book Antiqua"/>
          <w:sz w:val="18"/>
          <w:szCs w:val="18"/>
        </w:rPr>
        <w:tab/>
      </w:r>
      <w:r w:rsidRPr="004D04B7">
        <w:rPr>
          <w:rFonts w:ascii="Book Antiqua" w:hAnsi="Book Antiqua"/>
          <w:sz w:val="18"/>
          <w:szCs w:val="18"/>
        </w:rPr>
        <w:tab/>
        <w:t xml:space="preserve">             Aceptado: </w:t>
      </w:r>
      <w:r w:rsidR="004D04B7" w:rsidRPr="004D04B7">
        <w:rPr>
          <w:rStyle w:val="Hipervnculo"/>
          <w:rFonts w:ascii="Book Antiqua" w:hAnsi="Book Antiqua"/>
          <w:sz w:val="18"/>
          <w:szCs w:val="18"/>
        </w:rPr>
        <w:t>02</w:t>
      </w:r>
      <w:r w:rsidRPr="004D04B7">
        <w:rPr>
          <w:rStyle w:val="Hipervnculo"/>
          <w:rFonts w:ascii="Book Antiqua" w:hAnsi="Book Antiqua"/>
          <w:sz w:val="18"/>
          <w:szCs w:val="18"/>
        </w:rPr>
        <w:t>/0</w:t>
      </w:r>
      <w:r w:rsidR="004D04B7" w:rsidRPr="004D04B7">
        <w:rPr>
          <w:rStyle w:val="Hipervnculo"/>
          <w:rFonts w:ascii="Book Antiqua" w:hAnsi="Book Antiqua"/>
          <w:sz w:val="18"/>
          <w:szCs w:val="18"/>
        </w:rPr>
        <w:t>6</w:t>
      </w:r>
      <w:r w:rsidRPr="004D04B7">
        <w:rPr>
          <w:rStyle w:val="Hipervnculo"/>
          <w:rFonts w:ascii="Book Antiqua" w:hAnsi="Book Antiqua"/>
          <w:sz w:val="18"/>
          <w:szCs w:val="18"/>
        </w:rPr>
        <w:t>/202</w:t>
      </w:r>
      <w:r w:rsidR="004D04B7" w:rsidRPr="004D04B7">
        <w:rPr>
          <w:rStyle w:val="Hipervnculo"/>
          <w:rFonts w:ascii="Book Antiqua" w:hAnsi="Book Antiqua"/>
          <w:sz w:val="18"/>
          <w:szCs w:val="18"/>
        </w:rPr>
        <w:t>6</w:t>
      </w:r>
    </w:p>
    <w:p w14:paraId="216925C7" w14:textId="7929ED3A" w:rsidR="00DA2FB6" w:rsidRPr="00567269" w:rsidRDefault="00DA2FB6" w:rsidP="00DA2FB6">
      <w:pPr>
        <w:spacing w:after="0" w:line="240" w:lineRule="auto"/>
        <w:ind w:right="70"/>
        <w:jc w:val="left"/>
        <w:rPr>
          <w:rFonts w:ascii="Book Antiqua" w:hAnsi="Book Antiqua"/>
          <w:sz w:val="18"/>
          <w:szCs w:val="18"/>
        </w:rPr>
      </w:pPr>
      <w:r w:rsidRPr="004D04B7">
        <w:rPr>
          <w:rFonts w:ascii="Book Antiqua" w:hAnsi="Book Antiqua"/>
          <w:sz w:val="18"/>
          <w:szCs w:val="18"/>
        </w:rPr>
        <w:t xml:space="preserve">  </w:t>
      </w:r>
      <w:r w:rsidRPr="004D04B7">
        <w:rPr>
          <w:rFonts w:ascii="Book Antiqua" w:hAnsi="Book Antiqua"/>
          <w:sz w:val="18"/>
          <w:szCs w:val="18"/>
        </w:rPr>
        <w:tab/>
      </w:r>
      <w:r w:rsidRPr="004D04B7">
        <w:rPr>
          <w:rFonts w:ascii="Book Antiqua" w:hAnsi="Book Antiqua"/>
          <w:sz w:val="18"/>
          <w:szCs w:val="18"/>
        </w:rPr>
        <w:tab/>
        <w:t xml:space="preserve">            Publicado: 25/07/202</w:t>
      </w:r>
      <w:r w:rsidR="00062734" w:rsidRPr="004D04B7">
        <w:rPr>
          <w:rFonts w:ascii="Book Antiqua" w:hAnsi="Book Antiqua"/>
          <w:sz w:val="18"/>
          <w:szCs w:val="18"/>
        </w:rPr>
        <w:t>6</w:t>
      </w:r>
    </w:p>
    <w:p w14:paraId="4835198D" w14:textId="26BAD8AF" w:rsidR="00C82A3C" w:rsidRPr="00B97F61" w:rsidRDefault="00C82A3C" w:rsidP="00DA2FB6">
      <w:pPr>
        <w:spacing w:after="0" w:line="240" w:lineRule="auto"/>
        <w:ind w:left="720" w:firstLine="720"/>
        <w:jc w:val="left"/>
        <w:rPr>
          <w:rFonts w:ascii="Book Antiqua" w:hAnsi="Book Antiqua"/>
          <w:color w:val="000000"/>
          <w:sz w:val="18"/>
          <w:szCs w:val="18"/>
        </w:rPr>
        <w:sectPr w:rsidR="00C82A3C" w:rsidRPr="00B97F61" w:rsidSect="00C82A3C">
          <w:type w:val="continuous"/>
          <w:pgSz w:w="11906" w:h="16838" w:code="9"/>
          <w:pgMar w:top="1701" w:right="1701" w:bottom="1701" w:left="1701" w:header="850" w:footer="454" w:gutter="0"/>
          <w:pgNumType w:start="15"/>
          <w:cols w:num="2" w:space="708"/>
          <w:docGrid w:linePitch="360"/>
        </w:sectPr>
      </w:pPr>
    </w:p>
    <w:p w14:paraId="0BC99EC4" w14:textId="70A4E211" w:rsidR="00C34D65" w:rsidRPr="00AC56CE" w:rsidRDefault="00C82A3C" w:rsidP="00AC56CE">
      <w:pPr>
        <w:spacing w:after="240" w:line="240" w:lineRule="auto"/>
        <w:jc w:val="left"/>
        <w:rPr>
          <w:rFonts w:ascii="Book Antiqua" w:hAnsi="Book Antiqua"/>
          <w:color w:val="000000"/>
          <w:sz w:val="18"/>
          <w:szCs w:val="18"/>
        </w:rPr>
        <w:sectPr w:rsidR="00C34D65" w:rsidRPr="00AC56CE" w:rsidSect="005A1915">
          <w:type w:val="continuous"/>
          <w:pgSz w:w="11906" w:h="16838" w:code="9"/>
          <w:pgMar w:top="1701" w:right="1701" w:bottom="1701" w:left="1701" w:header="850" w:footer="454" w:gutter="0"/>
          <w:pgNumType w:start="15"/>
          <w:cols w:space="708"/>
          <w:docGrid w:linePitch="360"/>
        </w:sectPr>
      </w:pPr>
      <w:r w:rsidRPr="00B97F61">
        <w:rPr>
          <w:rFonts w:ascii="Book Antiqua" w:hAnsi="Book Antiqua"/>
          <w:color w:val="000000"/>
          <w:sz w:val="18"/>
          <w:szCs w:val="18"/>
        </w:rPr>
        <w:t xml:space="preserve">*Autor de correspondencia: </w:t>
      </w:r>
      <w:hyperlink r:id="rId18" w:history="1">
        <w:r w:rsidR="00BE4C98" w:rsidRPr="00BB1B73">
          <w:rPr>
            <w:rStyle w:val="Hipervnculo"/>
            <w:rFonts w:ascii="Book Antiqua" w:hAnsi="Book Antiqua"/>
            <w:sz w:val="18"/>
            <w:szCs w:val="18"/>
          </w:rPr>
          <w:t>secastilloc@ucvvirtual.edu.pe</w:t>
        </w:r>
      </w:hyperlink>
      <w:r w:rsidR="00C65176">
        <w:rPr>
          <w:rFonts w:ascii="Book Antiqua" w:hAnsi="Book Antiqua"/>
          <w:color w:val="000000"/>
          <w:sz w:val="18"/>
          <w:szCs w:val="18"/>
        </w:rPr>
        <w:t xml:space="preserve"> </w:t>
      </w:r>
    </w:p>
    <w:p w14:paraId="50DC851E" w14:textId="05544864" w:rsidR="005B7222" w:rsidRPr="00B97F61" w:rsidRDefault="002D4240" w:rsidP="00656C06">
      <w:pPr>
        <w:spacing w:after="60" w:line="240" w:lineRule="auto"/>
        <w:rPr>
          <w:rFonts w:ascii="Book Antiqua" w:hAnsi="Book Antiqua"/>
          <w:bCs/>
          <w:color w:val="000000"/>
          <w:sz w:val="20"/>
          <w:szCs w:val="20"/>
        </w:rPr>
      </w:pPr>
      <w:r w:rsidRPr="00B97F61">
        <w:rPr>
          <w:rFonts w:ascii="Book Antiqua" w:hAnsi="Book Antiqua"/>
          <w:b/>
          <w:color w:val="000000"/>
          <w:sz w:val="20"/>
          <w:szCs w:val="20"/>
        </w:rPr>
        <w:t>Resu</w:t>
      </w:r>
      <w:r w:rsidR="005B7222" w:rsidRPr="00B97F61">
        <w:rPr>
          <w:rFonts w:ascii="Book Antiqua" w:hAnsi="Book Antiqua"/>
          <w:b/>
          <w:color w:val="000000"/>
          <w:sz w:val="20"/>
          <w:szCs w:val="20"/>
        </w:rPr>
        <w:t>men:</w:t>
      </w:r>
      <w:r w:rsidR="005B7222" w:rsidRPr="00B97F61">
        <w:rPr>
          <w:rFonts w:ascii="Book Antiqua" w:hAnsi="Book Antiqua"/>
          <w:color w:val="000000"/>
          <w:sz w:val="20"/>
          <w:szCs w:val="20"/>
        </w:rPr>
        <w:t xml:space="preserve"> </w:t>
      </w:r>
      <w:r w:rsidR="00656C06" w:rsidRPr="00656C06">
        <w:rPr>
          <w:rFonts w:ascii="Book Antiqua" w:hAnsi="Book Antiqua"/>
          <w:color w:val="000000"/>
          <w:sz w:val="20"/>
          <w:szCs w:val="20"/>
        </w:rPr>
        <w:t>La relación entre inteligencia emocional y comunicación en salud se ha estudiado principalmente desde habilidades clínicas e interpersonales, mientras que su vínculo con la comunicación interna organizacional permanece menos desarrollado. El objetivo fue examinar la asociación entre inteligencia emocional y comunicación interna en trabajadores de un establecimiento de salud de San Martín, Perú, y evaluar la contribución de sus dimensiones. Se realizó un estudio cuantitativo, observacional, transversal y analítico en 190 trabajadores seleccionados mediante muestreo probabilístico aleatorio simple. La inteligencia emocional se evaluó con un cuestionario de 60 ítems y la comunicación interna con uno de 22 ítems. El modelo con inteligencia emocional mostró mejor ajuste que el modelo con solo intercepto (</w:t>
      </w:r>
      <w:r w:rsidR="00656C06" w:rsidRPr="00656C06">
        <w:rPr>
          <w:rFonts w:ascii="Book Antiqua" w:hAnsi="Book Antiqua" w:hint="eastAsia"/>
          <w:color w:val="000000"/>
          <w:sz w:val="20"/>
          <w:szCs w:val="20"/>
        </w:rPr>
        <w:t>χ²</w:t>
      </w:r>
      <w:r w:rsidR="00656C06" w:rsidRPr="00656C06">
        <w:rPr>
          <w:rFonts w:ascii="Book Antiqua" w:hAnsi="Book Antiqua"/>
          <w:color w:val="000000"/>
          <w:sz w:val="20"/>
          <w:szCs w:val="20"/>
        </w:rPr>
        <w:t xml:space="preserve"> = 281,096; gl = 57; p &lt; 0,001), con pseudo-R² de Cox-Snell = 0,772, Nagelkerke = 0,773 y McFadden = 0,195. Todas las dimensiones mostraron mejoras significativas (p &lt; 0,001), destacando intrapersonal e interpersonal. La inteligencia emocional se relacionó significativamente con la comunicación interna, sin establecer causalidad.</w:t>
      </w:r>
    </w:p>
    <w:p w14:paraId="36EBA76A" w14:textId="3E18FAD6" w:rsidR="002D4240" w:rsidRPr="005B3EB7" w:rsidRDefault="002D4240" w:rsidP="00656C06">
      <w:pPr>
        <w:spacing w:after="240" w:line="240" w:lineRule="auto"/>
        <w:rPr>
          <w:rFonts w:ascii="Book Antiqua" w:hAnsi="Book Antiqua"/>
          <w:b/>
          <w:sz w:val="20"/>
          <w:szCs w:val="20"/>
        </w:rPr>
      </w:pPr>
      <w:r w:rsidRPr="005B3EB7">
        <w:rPr>
          <w:rFonts w:ascii="Book Antiqua" w:hAnsi="Book Antiqua"/>
          <w:b/>
          <w:sz w:val="20"/>
          <w:szCs w:val="20"/>
        </w:rPr>
        <w:t>Palabras clave:</w:t>
      </w:r>
      <w:r w:rsidRPr="005B3EB7">
        <w:rPr>
          <w:rFonts w:ascii="Book Antiqua" w:hAnsi="Book Antiqua"/>
          <w:sz w:val="20"/>
          <w:szCs w:val="20"/>
        </w:rPr>
        <w:t xml:space="preserve"> </w:t>
      </w:r>
      <w:r w:rsidR="00B142C5" w:rsidRPr="00C70B73">
        <w:rPr>
          <w:rFonts w:ascii="Book Antiqua" w:hAnsi="Book Antiqua"/>
          <w:sz w:val="20"/>
          <w:szCs w:val="20"/>
        </w:rPr>
        <w:t>comunicación organizacional; estudios transversales</w:t>
      </w:r>
      <w:r w:rsidR="00B142C5">
        <w:rPr>
          <w:rFonts w:ascii="Book Antiqua" w:hAnsi="Book Antiqua"/>
          <w:sz w:val="20"/>
          <w:szCs w:val="20"/>
        </w:rPr>
        <w:t xml:space="preserve">; </w:t>
      </w:r>
      <w:r w:rsidR="00C70B73" w:rsidRPr="00C70B73">
        <w:rPr>
          <w:rFonts w:ascii="Book Antiqua" w:hAnsi="Book Antiqua"/>
          <w:sz w:val="20"/>
          <w:szCs w:val="20"/>
        </w:rPr>
        <w:t>inteligencia emocional; personal de salud; relaciones interpersonales</w:t>
      </w:r>
    </w:p>
    <w:p w14:paraId="09826D58" w14:textId="00C37DC4" w:rsidR="00702236" w:rsidRPr="00EB43D0" w:rsidRDefault="002D4240" w:rsidP="00656C06">
      <w:pPr>
        <w:spacing w:after="60" w:line="240" w:lineRule="auto"/>
        <w:rPr>
          <w:rFonts w:ascii="Book Antiqua" w:hAnsi="Book Antiqua"/>
          <w:bCs/>
          <w:color w:val="000000"/>
          <w:sz w:val="20"/>
          <w:szCs w:val="20"/>
          <w:lang w:val="en-US"/>
        </w:rPr>
      </w:pPr>
      <w:r w:rsidRPr="00B97F61">
        <w:rPr>
          <w:rFonts w:ascii="Book Antiqua" w:hAnsi="Book Antiqua"/>
          <w:b/>
          <w:sz w:val="20"/>
          <w:szCs w:val="20"/>
          <w:lang w:val="en-US"/>
        </w:rPr>
        <w:t>Abstract:</w:t>
      </w:r>
      <w:r w:rsidR="005756F5" w:rsidRPr="00B97F61">
        <w:rPr>
          <w:rFonts w:ascii="Book Antiqua" w:hAnsi="Book Antiqua"/>
          <w:bCs/>
          <w:color w:val="000000"/>
          <w:sz w:val="20"/>
          <w:szCs w:val="20"/>
          <w:lang w:val="en-US"/>
        </w:rPr>
        <w:t xml:space="preserve"> </w:t>
      </w:r>
      <w:r w:rsidR="00656C06" w:rsidRPr="00656C06">
        <w:rPr>
          <w:rFonts w:ascii="Book Antiqua" w:hAnsi="Book Antiqua"/>
          <w:bCs/>
          <w:color w:val="000000"/>
          <w:sz w:val="20"/>
          <w:szCs w:val="20"/>
          <w:lang w:val="en-US"/>
        </w:rPr>
        <w:t>The relationship between emotional intelligence and communication in healthcare has been studied mainly through clinical and interpersonal skills, while its link with organizational internal communication remains less developed. This study aimed to examine the association between emotional intelligence and internal communication among workers at a healthcare facility in San Martín, Peru, and to evaluate the contribution of its dimensions. A quantitative, observational, cross-sectional, and analytical study was conducted among 190 workers selected through simple random sampling. Emotional intelligence was assessed using a 60-item questionnaire and internal communication using a 22-item questionnaire. The model including emotional intelligence showed better fit than the intercept-only model (</w:t>
      </w:r>
      <w:r w:rsidR="00656C06" w:rsidRPr="00656C06">
        <w:rPr>
          <w:rFonts w:ascii="Book Antiqua" w:hAnsi="Book Antiqua" w:hint="eastAsia"/>
          <w:bCs/>
          <w:color w:val="000000"/>
          <w:sz w:val="20"/>
          <w:szCs w:val="20"/>
          <w:lang w:val="en-US"/>
        </w:rPr>
        <w:t>χ²</w:t>
      </w:r>
      <w:r w:rsidR="00656C06" w:rsidRPr="00656C06">
        <w:rPr>
          <w:rFonts w:ascii="Book Antiqua" w:hAnsi="Book Antiqua"/>
          <w:bCs/>
          <w:color w:val="000000"/>
          <w:sz w:val="20"/>
          <w:szCs w:val="20"/>
          <w:lang w:val="en-US"/>
        </w:rPr>
        <w:t xml:space="preserve"> = 281.096; df = 57; p &lt; 0.001), with pseudo-R² values of 0.772 for Cox-Snell, 0.773 for Nagelkerke, and 0.195 for McFadden. All dimensions significantly improved model fit (p &lt; 0.001), with intrapersonal and interpersonal dimensions standing out. Emotional intelligence was significantly associated with internal communication, providing evidence of its relevance to organizational communication dynamics without establishing causality.</w:t>
      </w:r>
    </w:p>
    <w:p w14:paraId="6BA988A8" w14:textId="7A85FA57" w:rsidR="005A1915" w:rsidRPr="00EB43D0" w:rsidRDefault="002D4240" w:rsidP="00656C06">
      <w:pPr>
        <w:spacing w:line="240" w:lineRule="auto"/>
        <w:rPr>
          <w:rStyle w:val="Hipervnculo"/>
          <w:rFonts w:ascii="Book Antiqua" w:hAnsi="Book Antiqua"/>
          <w:sz w:val="20"/>
          <w:szCs w:val="20"/>
          <w:lang w:val="en-US"/>
        </w:rPr>
      </w:pPr>
      <w:r w:rsidRPr="00EB43D0">
        <w:rPr>
          <w:rFonts w:ascii="Book Antiqua" w:hAnsi="Book Antiqua"/>
          <w:b/>
          <w:sz w:val="20"/>
          <w:szCs w:val="20"/>
          <w:lang w:val="en-US"/>
        </w:rPr>
        <w:t>Keywords:</w:t>
      </w:r>
      <w:r w:rsidR="00C70B73">
        <w:rPr>
          <w:rFonts w:ascii="Book Antiqua" w:hAnsi="Book Antiqua"/>
          <w:sz w:val="20"/>
          <w:szCs w:val="20"/>
          <w:lang w:val="en-US"/>
        </w:rPr>
        <w:t xml:space="preserve"> </w:t>
      </w:r>
      <w:r w:rsidR="00B142C5" w:rsidRPr="00C70B73">
        <w:rPr>
          <w:rFonts w:ascii="Book Antiqua" w:hAnsi="Book Antiqua"/>
          <w:sz w:val="20"/>
          <w:szCs w:val="20"/>
          <w:lang w:val="en-US"/>
        </w:rPr>
        <w:t>organizational communication;</w:t>
      </w:r>
      <w:r w:rsidR="00B142C5">
        <w:rPr>
          <w:rFonts w:ascii="Book Antiqua" w:hAnsi="Book Antiqua"/>
          <w:sz w:val="20"/>
          <w:szCs w:val="20"/>
          <w:lang w:val="en-US"/>
        </w:rPr>
        <w:t xml:space="preserve"> </w:t>
      </w:r>
      <w:r w:rsidR="00B142C5" w:rsidRPr="00C70B73">
        <w:rPr>
          <w:rFonts w:ascii="Book Antiqua" w:hAnsi="Book Antiqua"/>
          <w:sz w:val="20"/>
          <w:szCs w:val="20"/>
          <w:lang w:val="en-US"/>
        </w:rPr>
        <w:t>cross-sectional studies</w:t>
      </w:r>
      <w:r w:rsidR="00B142C5">
        <w:rPr>
          <w:rFonts w:ascii="Book Antiqua" w:hAnsi="Book Antiqua"/>
          <w:sz w:val="20"/>
          <w:szCs w:val="20"/>
          <w:lang w:val="en-US"/>
        </w:rPr>
        <w:t xml:space="preserve">; </w:t>
      </w:r>
      <w:r w:rsidR="00C70B73" w:rsidRPr="00C70B73">
        <w:rPr>
          <w:rFonts w:ascii="Book Antiqua" w:hAnsi="Book Antiqua"/>
          <w:sz w:val="20"/>
          <w:szCs w:val="20"/>
          <w:lang w:val="en-US"/>
        </w:rPr>
        <w:t>emotional intelligence; health personnel; interpersonal relations</w:t>
      </w:r>
    </w:p>
    <w:p w14:paraId="48AAD8A2" w14:textId="60F90253" w:rsidR="00CA58D0" w:rsidRPr="00B97F61" w:rsidRDefault="00CA58D0" w:rsidP="006D20EE">
      <w:pPr>
        <w:pStyle w:val="Piedepgina"/>
        <w:jc w:val="left"/>
        <w:rPr>
          <w:rFonts w:ascii="Book Antiqua" w:hAnsi="Book Antiqua"/>
          <w:sz w:val="18"/>
          <w:szCs w:val="18"/>
          <w:lang w:val="en-US"/>
        </w:rPr>
        <w:sectPr w:rsidR="00CA58D0" w:rsidRPr="00B97F61" w:rsidSect="005A1915">
          <w:type w:val="continuous"/>
          <w:pgSz w:w="11906" w:h="16838" w:code="9"/>
          <w:pgMar w:top="1701" w:right="1701" w:bottom="1701" w:left="1701" w:header="850" w:footer="454" w:gutter="0"/>
          <w:pgNumType w:start="15"/>
          <w:cols w:space="708"/>
          <w:docGrid w:linePitch="360"/>
        </w:sectPr>
      </w:pPr>
    </w:p>
    <w:p w14:paraId="5D45AABF" w14:textId="77777777" w:rsidR="002D4240" w:rsidRPr="00B97F61" w:rsidRDefault="00702F35" w:rsidP="00E36E83">
      <w:pPr>
        <w:pStyle w:val="Ttulo2"/>
        <w:numPr>
          <w:ilvl w:val="0"/>
          <w:numId w:val="2"/>
        </w:numPr>
        <w:spacing w:before="0" w:after="120"/>
        <w:ind w:left="357" w:hanging="357"/>
        <w:rPr>
          <w:rFonts w:ascii="Book Antiqua" w:hAnsi="Book Antiqua"/>
        </w:rPr>
      </w:pPr>
      <w:r w:rsidRPr="00B97F61">
        <w:rPr>
          <w:rFonts w:ascii="Book Antiqua" w:hAnsi="Book Antiqua"/>
        </w:rPr>
        <w:lastRenderedPageBreak/>
        <w:t xml:space="preserve">Introducción </w:t>
      </w:r>
    </w:p>
    <w:p w14:paraId="60B424F3" w14:textId="7C479122"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Los profesionales sanitarios desarrollan su actividad en entornos caracterizados por altas demandas cognitivas, interpersonales y emocionales, en los que la capacidad para reconocer, comprender y regular las emociones constituye un recurso relevante para afrontar las exigencias del trabajo. La evidencia disponible relaciona la inteligencia emocional con diferentes indicadores de bienestar, desempeño y adaptación profesional en medicina, aunque la magnitud y consistencia de estas asociaciones varían según las poblaciones y resultados analizados </w:t>
      </w:r>
      <w:r w:rsidR="00B85003">
        <w:rPr>
          <w:rFonts w:ascii="Book Antiqua" w:hAnsi="Book Antiqua"/>
          <w:sz w:val="20"/>
          <w:szCs w:val="20"/>
        </w:rPr>
        <w:fldChar w:fldCharType="begin" w:fldLock="1"/>
      </w:r>
      <w:r w:rsidR="00B85003">
        <w:rPr>
          <w:rFonts w:ascii="Book Antiqua" w:hAnsi="Book Antiqua"/>
          <w:sz w:val="20"/>
          <w:szCs w:val="20"/>
        </w:rPr>
        <w:instrText>ADDIN CSL_CITATION {"citationItems":[{"id":"ITEM-1","itemData":{"DOI":"10.1016/j.jsurg.2024.103307","abstract":"Objective: Physicians, residents, and medical students consistently report higher levels of stress, anxiety, depression, burnout, and suicide compared to the general population. Emotional intelligence is a trait 1 possesses that has been shown to have associations with aspects of mental health specifically in the medical field. It has also been studied in business literature demonstrating multiple performance benefits. The purpose of this review is to investigate the relationship of emotional intelligence and mental health and well-being, clinical performance, and academic success with physicians, residents, and medical students. Methods: A systematic review was conducted of studies investigating the associations of emotional intelligence on physicians, residents, or medical students between 2013 and 2023. Studies investigating the association of empathy within the study population were also included. Studies must have used a validated measure or reported a reliable method of measuring emotional intelligence or empathy. Results: Thirty-nine articles were included. The trait emotional intelligence questionnaire short form was the most frequently used assessment tool (28%). Mental health and well-being was the most common study outcome (67%). Twenty articles reported lower levels of burnout in those with higher emotional intelligence levels. (p &lt; 0.05). Other protective associations of emotional intelligence included decreased levels of anxiety, stress, and depression (p &lt; 0.05). Emotional intelligence was associated with multiple clinical performance metrics including patient satisfaction, perceived communication ratings, patient information recall, and improved decision making under operational stress (p &lt; 0.05). Conclusions: Emotional intelligence has beneficial associations for physicians at all levels of training. Those entering with higher levels of emotional intelligence may be better suited to handle the psychological effects described within the healthcare field. Emotional intelligence can also be improved through training. Using emotional intelligence as part of a holistic screening process may help predict and enhance the success of doctors, residents, and medical students, which can contribute to improving the healthcare system. © 2024 Association of Program Directors in Surgery","author":[{"dropping-particle":"","family":"Horne","given":"M J","non-dropping-particle":"","parse-names":false,"suffix":""},{"dropping-particle":"","family":"Allbright","given":"M","non-dropping-particle":"","parse-names":false,"suffix":""},{"dropping-particle":"","family":"Galbraith","given":"D A","non-dropping-particle":"","parse-names":false,"suffix":""},{"dropping-particle":"","family":"Patel","given":"A","non-dropping-particle":"","parse-names":false,"suffix":""}],"container-title":"Journal of Surgical Education","id":"ITEM-1","issue":"12","issued":{"date-parts":[["2024"]]},"note":"Export Date: 24 August 2026; Cited By: 20","title":"Emotional Intelligence in Medicine: An Investigation of the Significance for Physicians, Residents, and Medical Students – A Systematic Review","type":"article-journal","volume":"81"},"uris":["http://www.mendeley.com/documents/?uuid=0ba68cf7-213c-4cb2-b94b-869d3c378eee"]}],"mendeley":{"formattedCitation":"(Horne et al., 2024)","plainTextFormattedCitation":"(Horne et al., 2024)","previouslyFormattedCitation":"(Horne et al., 2024)"},"properties":{"noteIndex":0},"schema":"https://github.com/citation-style-language/schema/raw/master/csl-citation.json"}</w:instrText>
      </w:r>
      <w:r w:rsidR="00B85003">
        <w:rPr>
          <w:rFonts w:ascii="Book Antiqua" w:hAnsi="Book Antiqua"/>
          <w:sz w:val="20"/>
          <w:szCs w:val="20"/>
        </w:rPr>
        <w:fldChar w:fldCharType="separate"/>
      </w:r>
      <w:r w:rsidR="00B85003" w:rsidRPr="00B85003">
        <w:rPr>
          <w:rFonts w:ascii="Book Antiqua" w:hAnsi="Book Antiqua"/>
          <w:noProof/>
          <w:sz w:val="20"/>
          <w:szCs w:val="20"/>
        </w:rPr>
        <w:t>(Horne et al., 2024)</w:t>
      </w:r>
      <w:r w:rsidR="00B85003">
        <w:rPr>
          <w:rFonts w:ascii="Book Antiqua" w:hAnsi="Book Antiqua"/>
          <w:sz w:val="20"/>
          <w:szCs w:val="20"/>
        </w:rPr>
        <w:fldChar w:fldCharType="end"/>
      </w:r>
      <w:r w:rsidRPr="00BF3499">
        <w:rPr>
          <w:rFonts w:ascii="Book Antiqua" w:hAnsi="Book Antiqua"/>
          <w:sz w:val="20"/>
          <w:szCs w:val="20"/>
        </w:rPr>
        <w:t xml:space="preserve">. Esta relevancia también se observa en la capacidad de afrontar contextos adversos: un metaanálisis reciente identificó una asociación positiva considerable entre inteligencia emocional y resiliencia en profesionales y estudiantes de ciencias de la salud, con una relación más marcada entre quienes se encontraban en ejercicio profesional </w:t>
      </w:r>
      <w:r w:rsidR="00EE4E01">
        <w:rPr>
          <w:rFonts w:ascii="Book Antiqua" w:hAnsi="Book Antiqua"/>
          <w:sz w:val="20"/>
          <w:szCs w:val="20"/>
        </w:rPr>
        <w:fldChar w:fldCharType="begin" w:fldLock="1"/>
      </w:r>
      <w:r w:rsidR="00EE4E01">
        <w:rPr>
          <w:rFonts w:ascii="Book Antiqua" w:hAnsi="Book Antiqua"/>
          <w:sz w:val="20"/>
          <w:szCs w:val="20"/>
        </w:rPr>
        <w:instrText>ADDIN CSL_CITATION {"citationItems":[{"id":"ITEM-1","itemData":{"DOI":"10.1186/s12909-026-08619-8","abstract":"Background: Healthcare practitioners operate in high-pressure environments characterized by complex interpersonal dynamics, making emotional intelligence (EI) and resilience critical competencies. This meta-analysis systematically examines the association between EI and resilience among healthcare practitioners and explores potential moderating factors. Methods: A comprehensive search of six databases (ERIC, Web of Science, Medline, PsycINFO, PubMed, and Scopus) was conducted through September 2024. The analysis incorporated data from 34 studies involving 8,515 participants, yielding 90 effect sizes. Results: Results revealed a strong positive correlation between EI and resilience (r =.523, 95% CI [.473,.568], p &lt;.001). Notably, this relationship was significantly stronger among practicing healthcare practitioners compared to students. Moderator analyses indicated that EI and resilience measurement tools significantly influenced effect sizes, and regional differences were evident: Europe displayed a weaker association between emotional intelligence and resilience than Asia. Across groups, ability-based EI was more strongly linked to resilience than trait-based EI. However, resilience type, age, gender, and other factors showed no significant moderation effects. Conclusions: The findings highlight a positive relationship between EI and resilience, with stronger associations observed among practitioners than students. This cross-sectional pattern is consistent with the idea that workplace demands and accumulated experience may be associated with a closer linkage between EI and resilience. Together with prior evidence that EI and resilience can be developed, this provides a rationale for integrating EI and resilience training into healthcare education and practice to support practitioners’ adaptability in high-pressure clinical settings. © The Author(s) 2026.","author":[{"dropping-particle":"","family":"He","given":"Q","non-dropping-particle":"","parse-names":false,"suffix":""},{"dropping-particle":"","family":"Ye","given":"Y","non-dropping-particle":"","parse-names":false,"suffix":""},{"dropping-particle":"","family":"Liang","given":"J","non-dropping-particle":"","parse-names":false,"suffix":""},{"dropping-particle":"","family":"Zheng","given":"B","non-dropping-particle":"","parse-names":false,"suffix":""}],"container-title":"BMC Medical Education","id":"ITEM-1","issue":"1","issued":{"date-parts":[["2026"]]},"note":"Export Date: 24 August 2026; Cited By: 1","title":"The relationship between emotional intelligence and resilience in healthcare practitioners and students: a multilevel meta-analysis","type":"article-journal","volume":"26"},"uris":["http://www.mendeley.com/documents/?uuid=8a752816-a040-43b9-9a36-1bf34d381aee"]}],"mendeley":{"formattedCitation":"(He et al., 2026)","plainTextFormattedCitation":"(He et al., 2026)","previouslyFormattedCitation":"(He et al., 2026)"},"properties":{"noteIndex":0},"schema":"https://github.com/citation-style-language/schema/raw/master/csl-citation.json"}</w:instrText>
      </w:r>
      <w:r w:rsidR="00EE4E01">
        <w:rPr>
          <w:rFonts w:ascii="Book Antiqua" w:hAnsi="Book Antiqua"/>
          <w:sz w:val="20"/>
          <w:szCs w:val="20"/>
        </w:rPr>
        <w:fldChar w:fldCharType="separate"/>
      </w:r>
      <w:r w:rsidR="00EE4E01" w:rsidRPr="00EE4E01">
        <w:rPr>
          <w:rFonts w:ascii="Book Antiqua" w:hAnsi="Book Antiqua"/>
          <w:noProof/>
          <w:sz w:val="20"/>
          <w:szCs w:val="20"/>
        </w:rPr>
        <w:t>(He et al., 2026)</w:t>
      </w:r>
      <w:r w:rsidR="00EE4E01">
        <w:rPr>
          <w:rFonts w:ascii="Book Antiqua" w:hAnsi="Book Antiqua"/>
          <w:sz w:val="20"/>
          <w:szCs w:val="20"/>
        </w:rPr>
        <w:fldChar w:fldCharType="end"/>
      </w:r>
      <w:r w:rsidRPr="00BF3499">
        <w:rPr>
          <w:rFonts w:ascii="Book Antiqua" w:hAnsi="Book Antiqua"/>
          <w:sz w:val="20"/>
          <w:szCs w:val="20"/>
        </w:rPr>
        <w:t>. En consecuencia, las competencias emocionales pueden entenderse como recursos no técnicos potencialmente relevantes para el funcionamiento cotidiano de los trabajadores dentro de organizaciones sanitarias complejas.</w:t>
      </w:r>
    </w:p>
    <w:p w14:paraId="79FA58CA" w14:textId="027E8376"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En estas organizaciones, el desempeño profesional depende también de procesos comunicativos que permiten compartir información, coordinar actividades, resolver problemas y mantener relaciones funcionales entre trabajadores y unidades organizacionales. Los hospitales constituyen redes de comunicación particularmente complejas, en las que factores personales, tecnológicos, organizacionales y estructurales pueden facilitar o limitar la comunicación interna; entre ellos se han identificado el liderazgo, las características de los trabajadores y el uso de tecnologías de comunicación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{"citationItems":[{"id":"ITEM-1","itemData":{"DOI":"10.30476/jhsss.2021.91998.1278","abstract":"Background: A variety of clinical and administrative employees form a complicated communication network which makes various conflicts and contradictions possible in hospitals. This highlights the significant impact of internal communication in directing healthcare centers as one of the manager's duties. Although improving hospital management is key to improvement of the healthcare delivery, few studies have been conducted to address internal communication as one of the main management tasks in hospitals. The current study aimed to determine the contributing factors influencing internal communication based on hospital managers and healthcare personnel's points of view. Methods: A qualitative study utilizing a content analysis approach was performed. A purposive sampling method was recruited and twenty hospital managers and healthcare staff in Shiraz University of Medical Sciences participated in the study. Semi-structured interviews with open-ended questions were conducted. Data were analyzed using thematic analysis by MAXQDA version 10. Results: Eight managers and twelve healthcare staff including eleven male and nine female subjects participated in the study. Three main themes were discerned: namely \"personal factors\", \"technical factors\", and \"organizational and structural factors\". The participants placed the most emphasis on leadership and new technologies as the influential subthemes. Conclusion: Many factors can affect internal communication, some of which depend mostly on managers to be applied effectively in the hospitals and some on healthcare staff. The identified factors help the managers and staff to recognize how their internal communication can be impressed by these factors and how they can create effective internal communications. © Journal of Health Sciences and Surveillance System.All right reserved.","author":[{"dropping-particle":"","family":"Rezaee","given":"R","non-dropping-particle":"","parse-names":false,"suffix":""},{"dropping-particle":"","family":"Zare","given":"S","non-dropping-particle":"","parse-names":false,"suffix":""},{"dropping-particle":"","family":"Niknam","given":"F","non-dropping-particle":"","parse-names":false,"suffix":""},{"dropping-particle":"","family":"Akbari","given":"A","non-dropping-particle":"","parse-names":false,"suffix":""},{"dropping-particle":"","family":"Shirdeli","given":"M","non-dropping-particle":"","parse-names":false,"suffix":""},{"dropping-particle":"","family":"Falahati","given":"F","non-dropping-particle":"","parse-names":false,"suffix":""},{"dropping-particle":"","family":"Aghajani","given":"S","non-dropping-particle":"","parse-names":false,"suffix":""}],"container-title":"Journal of Health Sciences and Surveillance System","id":"ITEM-1","issue":"3","issued":{"date-parts":[["2022"]]},"note":"Export Date: 24 August 2026; Cited By: 2","page":"342-350","title":"Contributing Factors in Hospital Internal Communication based on Hospital Managers and Healthcare Personnel's Attitudes: A Qualitative Study","type":"article-journal","volume":"10"},"uris":["http://www.mendeley.com/documents/?uuid=9df7dddf-409d-400f-b70b-bb4e6e0d292b"]}],"mendeley":{"formattedCitation":"(Rezaee et al., 2022)","plainTextFormattedCitation":"(Rezaee et al., 2022)","previouslyFormattedCitation":"(Rezaee et al., 2022)"},"properties":{"noteIndex":0},"schema":"https://github.com/citation-style-language/schema/raw/master/csl-citation.json"}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(Rezaee et al., 2022)</w:t>
      </w:r>
      <w:r w:rsidR="004618D1">
        <w:rPr>
          <w:rFonts w:ascii="Book Antiqua" w:hAnsi="Book Antiqua"/>
          <w:sz w:val="20"/>
          <w:szCs w:val="20"/>
        </w:rPr>
        <w:fldChar w:fldCharType="end"/>
      </w:r>
      <w:r w:rsidRPr="00BF3499">
        <w:rPr>
          <w:rFonts w:ascii="Book Antiqua" w:hAnsi="Book Antiqua"/>
          <w:sz w:val="20"/>
          <w:szCs w:val="20"/>
        </w:rPr>
        <w:t xml:space="preserve">. Al mismo tiempo, la elevada cantidad de información que circula en estos entornos puede generar sobrecarga comunicativa y dificultar que los trabajadores procesen e interpreten adecuadamente los mensajes organizacionales, con repercusiones sobre sus actitudes laborales y su eficacia comunicativa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{"citationItems":[{"id":"ITEM-1","itemData":{"DOI":"10.1080/10410236.2022.2129313","abstract":"Hospitals represent complex organizations where a range of hospital workers, from physicians to administrators, encounter a deluge of information they must quickly process and act upon. New technologies implemented to streamline patient care, like electronic health records and wearable technologies, have both enhanced and complicated communicative exchanges between hospital workers and their organizations. Hospital workers feeling over saturated with workplace communication, and thus unable to effectively manage or interpret workplace messages, experience what has been labeled communication overload, which can negatively impact worker productivity and concentration. This study examines hospital workers (N = 303) in a Midwestern U.S. healthcare network, and uses structural equation modeling to offer a preliminary theoretical model that demonstrates the effects and outcomes of communication overload in high-risk organizations. The model offers theoretical implications through depicting communication overload as indirectly related to burnout, job satisfaction, and organizational identification through participation in decision-making and organizational safety climate. Results suggest that even if communication overload is an expected state in high-risk organizations, managers can prevent its negative effects on workers’ job attitudes by providing workers opportunities to get involved in organizational decision-making and constructing a robust organizational safety climate. Finally, we suggest pairings of organizational safety communication channels and sources through which high quantities of safety information can be communicated without communicatively overloading workers. © 2022 Taylor &amp; Francis Group, LLC.","author":[{"dropping-particle":"","family":"Barrett","given":"A K","non-dropping-particle":"","parse-names":false,"suffix":""},{"dropping-particle":"","family":"Ford","given":"J","non-dropping-particle":"","parse-names":false,"suffix":""},{"dropping-particle":"","family":"Zhu","given":"Y","non-dropping-particle":"","parse-names":false,"suffix":""}],"container-title":"Health Communication","id":"ITEM-1","issue":"13","issued":{"date-parts":[["2023"]]},"note":"Export Date: 24 August 2026; Cited By: 17","page":"2971-2985","title":"Communication Overload in Hospitals: Exploring Organizational Safety Communication, Worker Job Attitudes, and Communication Efficacy","type":"article-journal","volume":"38"},"uris":["http://www.mendeley.com/documents/?uuid=d53b48f9-271a-430e-8a05-1c9539e069eb"]}],"mendeley":{"formattedCitation":"(Barrett et al., 2023)","plainTextFormattedCitation":"(Barrett et al., 2023)","previouslyFormattedCitation":"(Barrett et al.,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(Barrett et al., 2023)</w:t>
      </w:r>
      <w:r w:rsidR="004618D1">
        <w:rPr>
          <w:rFonts w:ascii="Book Antiqua" w:hAnsi="Book Antiqua"/>
          <w:sz w:val="20"/>
          <w:szCs w:val="20"/>
        </w:rPr>
        <w:fldChar w:fldCharType="end"/>
      </w:r>
      <w:r w:rsidRPr="00BF3499">
        <w:rPr>
          <w:rFonts w:ascii="Book Antiqua" w:hAnsi="Book Antiqua"/>
          <w:sz w:val="20"/>
          <w:szCs w:val="20"/>
        </w:rPr>
        <w:t>. Por ello, la comunicación interna en salud no depende únicamente de la disponibilidad de canales, sino también de la forma en que los trabajadores reciben, interpretan y responden a los intercambios que ocurren dentro de la organización.</w:t>
      </w:r>
    </w:p>
    <w:p w14:paraId="142D2769" w14:textId="7F66766A"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Esta dimensión humana de la comunicación adquiere especial importancia porque las interacciones sanitarias se producen frecuentemente bajo presión, incertidumbre y exposición a situaciones emocionalmente demandantes. En enfermeras hospitalarias se ha identificado una relación significativa entre inteligencia emocional y habilidades de comunicación, lo que sugiere que la gestión de las emociones puede vincularse con la manera en que se desarrollan los intercambios profesionales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{"citationItems":[{"id":"ITEM-1","itemData":{"DOI":"10.1186/s12912-025-03679-5","abstract":"Aim: Patients’ outcomes could be improved by using emotional intelligence (EI) in communication. Many of the behavioral skills of nurses are shaped by their EI. This study aims to explore the relationship between the communication skills of nurses working in hospitals and their EI, emphasizing the importance of communication abilities. Method: This cross-sectional study included 350 nurses as a convenience sampling technique working in four government and private hospitals in the southern West Bank of Palestine. The questionnaire consisted of three sections: sociodemographic, EI Goleman’s questionnaire, and communication skills questionnaire. Participants completed a communication skills questionnaire developed by the researcher, along with Goleman’s EI Scale. The validity and reliability of the tools were assessed throughout the study. Data analysis was conducted using descriptive statistics, analysis of variance, and Pearson’s correlation test in SPSS v27. Results: The self-awareness dimension achieved the highest score of 25.50, whereas self-management recorded the lowest at 19.69, resulting in an estimated average EI score of 87.22. In terms of communication instruments, a total possible score ranges from 28 to 140, with higher mean scores indicating high EI. The overall average score for communication skills was 90.23. A significant correlation. For EI, a total possible score ranging from 28 to 140, with higher mean scores indicating high EI. was observed between the total EI score and the overall communication skills score (r = 0.542, p &lt; 0.01), and all four EI dimensions were strongly correlated with the total communication skills score. Conclusion: As EI and its dimensions positively influence nurses’ communication skills, hospital managers can enhance EI by organizing training sessions, promoting communication skills, and establishing a foundation for continuous improvement in hospital services. The in-service training, including monthly meetings and conferences, would benefit nurses by engaging them with EI. Using artificial intelligence could engage nurses in training sessions. Clinical trial number: Not applicable. © The Author(s) 2025.","author":[{"dropping-particle":"","family":"Ghrayeb","given":"F","non-dropping-particle":"","parse-names":false,"suffix":""},{"dropping-particle":"","family":"Zaben","given":"K","non-dropping-particle":"","parse-names":false,"suffix":""},{"dropping-particle":"","family":"Haddad","given":"R H","non-dropping-particle":"","parse-names":false,"suffix":""},{"dropping-particle":"","family":"Ghrayeb","given":"N","non-dropping-particle":"","parse-names":false,"suffix":""},{"dropping-particle":"","family":"Barhoush","given":"M","non-dropping-particle":"","parse-names":false,"suffix":""},{"dropping-particle":"","family":"Zuraikat","given":"N","non-dropping-particle":"","parse-names":false,"suffix":""},{"dropping-particle":"","family":"Abuejheisheh","given":"A J","non-dropping-particle":"","parse-names":false,"suffix":""}],"container-title":"BMC Nursing","id":"ITEM-1","issue":"1","issued":{"date-parts":[["2025"]]},"note":"Export Date: 25 August 2026; Cited By: 6","title":"Exploring the relationship between emotional intelligence and communication skills in nurses: a cross-sectional study","type":"article-journal","volume":"24"},"uris":["http://www.mendeley.com/documents/?uuid=3b81589d-8153-4715-9143-2b00c0c8bdc0"]}],"mendeley":{"formattedCitation":"(Ghrayeb et al., 2025)","plainTextFormattedCitation":"(Ghrayeb et al., 2025)","previouslyFormattedCitation":"(Ghrayeb et al., 2025)"},"properties":{"noteIndex":0},"schema":"https://github.com/citation-style-language/schema/raw/master/csl-citation.json"}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(Ghrayeb et al., 2025)</w:t>
      </w:r>
      <w:r w:rsidR="004618D1">
        <w:rPr>
          <w:rFonts w:ascii="Book Antiqua" w:hAnsi="Book Antiqua"/>
          <w:sz w:val="20"/>
          <w:szCs w:val="20"/>
        </w:rPr>
        <w:fldChar w:fldCharType="end"/>
      </w:r>
      <w:r w:rsidRPr="00BF3499">
        <w:rPr>
          <w:rFonts w:ascii="Book Antiqua" w:hAnsi="Book Antiqua"/>
          <w:sz w:val="20"/>
          <w:szCs w:val="20"/>
        </w:rPr>
        <w:t xml:space="preserve">. Sin embargo, dicha relación no parece uniforme ni suficiente por sí misma: un estudio realizado con 929 profesionales sanitarios encontró asociaciones entre determinados componentes de inteligencia emocional y competencias comunicativas, aunque con tamaños de efecto reducidos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{"citationItems":[{"id":"ITEM-1","itemData":{"DOI":"10.1186/s12909-025-08222-3","abstract":"Effective communication and emotional intelligence (EI) are essential to ethically grounded, patient-centred care, particularly when delivering bad news (BBN). Despite growing attention in international healthcare education, empirical data from Central and Eastern Europe remain scarce. Methods this cross-sectional study surveyed 929 Polish healthcare professionals (physicians, nurses, paramedics, midwives, and physiotherapists). Standardised instruments included the Health Professionals Communication Skills Scale (HP-CSS), the Emotional Intelligence Questionnaire (INTE), and the Breaking Bad News Attitudes Scale (BBNAS). Data were analysed using descriptive statistics, ANOVA, Pearson’s correlations, and multiple regression. Results nurses, and to a lesser extent physicians, demonstrated stronger communication competencies and higher openness to breaking bad news (BBNAS Openness). Both positive (informative communication, INTE I – using emotions in reasoning) and negative predictors (Respect, INTE II – recognising emotions) were identified. Effect sizes were small (η² ≤ 0.04; adjusted R² = 0.02–0.06), indicating that, although statistically significant, the findings had a limited practical impact. Conclusions the findings underscore the significance of emotional intelligence and practical communication skills in equipping healthcare professionals to manage emotionally demanding interactions effectively. Tailored training integrated into medical education may foster more confident, ethical, and patient-centred BBN practices. However, the modest effect sizes suggest that multiple psychological and organisational factors contribute to readiness. © The Author(s) 2025.","author":[{"dropping-particle":"","family":"Kosydar-Bochenek","given":"J","non-dropping-particle":"","parse-names":false,"suffix":""},{"dropping-particle":"","family":"Kobak","given":"J","non-dropping-particle":"","parse-names":false,"suffix":""},{"dropping-particle":"","family":"Szczupak","given":"M","non-dropping-particle":"","parse-names":false,"suffix":""},{"dropping-particle":"","family":"Będkowski","given":"J H","non-dropping-particle":"","parse-names":false,"suffix":""},{"dropping-particle":"","family":"Krupa-Nurcek","given":"S","non-dropping-particle":"","parse-names":false,"suffix":""}],"container-title":"BMC Medical Education","id":"ITEM-1","issue":"1","issued":{"date-parts":[["2026"]]},"note":"Export Date: 25 August 2026; Cited By: 0","title":"Delivering bad news in clinical practice: the role of communication skills and emotional intelligence among Polish healthcare professionals","type":"article-journal","volume":"26"},"uris":["http://www.mendeley.com/documents/?uuid=76cae0c2-2f59-4662-9f8b-188d45fef309"]}],"mendeley":{"formattedCitation":"(Kosydar-Bochenek et al., 2026)","plainTextFormattedCitation":"(Kosydar-Bochenek et al., 2026)","previouslyFormattedCitation":"(Kosydar-Bochenek et al., 2026)"},"properties":{"noteIndex":0},"schema":"https://github.com/citation-style-language/schema/raw/master/csl-citation.json"}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(Kosydar-Bochenek et al., 2026)</w:t>
      </w:r>
      <w:r w:rsidR="004618D1">
        <w:rPr>
          <w:rFonts w:ascii="Book Antiqua" w:hAnsi="Book Antiqua"/>
          <w:sz w:val="20"/>
          <w:szCs w:val="20"/>
        </w:rPr>
        <w:fldChar w:fldCharType="end"/>
      </w:r>
      <w:r w:rsidRPr="00BF3499">
        <w:rPr>
          <w:rFonts w:ascii="Book Antiqua" w:hAnsi="Book Antiqua"/>
          <w:sz w:val="20"/>
          <w:szCs w:val="20"/>
        </w:rPr>
        <w:t xml:space="preserve">. Asimismo, experiencias formativas desarrolladas en unidades neonatales muestran que el reconocimiento de los propios desencadenantes emocionales y de los de colegas y pacientes puede favorecer interacciones más respetuosas y conscientes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{"citationItems":[{"id":"ITEM-1","itemData":{"DOI":"10.12688/wellcomeopenres.18006.1","abstract":"Introduction: Effective communication is essential to delivering compassionate, high-quality nursing care. The intensive, stressful and technical environment of a new-born unit (NBU) in a low-resource setting presents communication-related challenges for nurses, with negative implications for nurse well-being, team relationships and patient care. We adapted a pre-existing communication and emotional competence course with NBU nurse managers working in Kenya, explored its’ value to participants and developed a theory of change to evaluate its’ potential impact. Methods: 18 neonatal nurse managers from 14 county referral hospitals helped adapt and participated in a nine-month participatory training process. Training involved guided ‘on the job’ self-observation and reflection to build self-awareness, and two face-to-face skills-building workshops. The course and potential for future scale up was assessed using written responses from participant nurses (baseline questionnaires, reflective assignments, pre and post workshop questionnaires), workshop observation notes, two group discussions and nine individual in-depth interviews. Results: Participants were extremely positive about the course, with many emphasizing its direct relevance and applicability to their daily work. Increased self-awareness and ability to recognize their own, colleagues’ and patients’ emotional triggers, together with new knowledge and practical skills, reportedly inspired nurses to change; in turn influencing their ability to provide respectful care, improving their confidence and relationships and giving them a stronger sense of professional identity. Conclusion: Providing respectful care is a major challenge in low-resource, high-pressure clinical settings but there are few strategies to address this problem. The participatory training process examined addresses this challenge and has potential for positive impacts for families, individual workers and teams, including worker well-being. We present an initial theory of change to support future evaluations aimed at exploring if and how positive gains can be sustained and spread within the wider system. Copyright: © 2022 Musitia P et al.","author":[{"dropping-particle":"","family":"Musitia","given":"P","non-dropping-particle":"","parse-names":false,"suffix":""},{"dropping-particle":"","family":"Boga","given":"M","non-dropping-particle":"","parse-names":false,"suffix":""},{"dropping-particle":"","family":"Oluoch","given":"D","non-dropping-particle":"","parse-names":false,"suffix":""},{"dropping-particle":"","family":"Haaland","given":"A","non-dropping-particle":"","parse-names":false,"suffix":""},{"dropping-particle":"","family":"Nzinga","given":"J","non-dropping-particle":"","parse-names":false,"suffix":""},{"dropping-particle":"","family":"English","given":"M","non-dropping-particle":"","parse-names":false,"suffix":""},{"dropping-particle":"","family":"Molyneux","given":"S","non-dropping-particle":"","parse-names":false,"suffix":""}],"container-title":"Wellcome Open Research","id":"ITEM-1","issued":{"date-parts":[["2022"]]},"note":"Export Date: 25 August 2026; Cited By: 12","title":"Strengthening respectful communication with patients and colleagues in neonatal units — developing and evaluating a communication and emotional competence training for nurse managers in Kenya","type":"article-journal","volume":"7"},"uris":["http://www.mendeley.com/documents/?uuid=b445c491-e07e-4e21-b33d-8151730d93a9"]}],"mendeley":{"formattedCitation":"(Musitia et al., 2022)","plainTextFormattedCitation":"(Musitia et al., 2022)","previouslyFormattedCitation":"(Musitia et al., 2022)"},"properties":{"noteIndex":0},"schema":"https://github.com/citation-style-language/schema/raw/master/csl-citation.json"}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(Musitia et al., 2022)</w:t>
      </w:r>
      <w:r w:rsidR="004618D1">
        <w:rPr>
          <w:rFonts w:ascii="Book Antiqua" w:hAnsi="Book Antiqua"/>
          <w:sz w:val="20"/>
          <w:szCs w:val="20"/>
        </w:rPr>
        <w:fldChar w:fldCharType="end"/>
      </w:r>
      <w:r w:rsidRPr="00BF3499">
        <w:rPr>
          <w:rFonts w:ascii="Book Antiqua" w:hAnsi="Book Antiqua"/>
          <w:sz w:val="20"/>
          <w:szCs w:val="20"/>
        </w:rPr>
        <w:t>. Estos hallazgos plantean la necesidad de comprender con mayor precisión cómo las competencias emocionales se relacionan con la dinámica comunicativa dentro de las organizaciones sanitarias.</w:t>
      </w:r>
    </w:p>
    <w:p w14:paraId="234D9B86" w14:textId="2E77DE49"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Esta posible relación puede explicarse mediante distintos componentes de la competencia emocional. La autoconciencia permite reconocer los propios estados emocionales; la empatía facilita interpretar las respuestas de otras personas; la regulación emocional contribuye a modular reacciones ante situaciones adversas; y la adaptabilidad y el manejo del estrés pueden favorecer respuestas funcionales cuando las condiciones laborales cambian o se vuelven exigentes. En profesionales y estudiantes de enfermería, la reparación emocional y la empatía se han identificado como variables relevantes para explicar actitudes favorables hacia la comunicación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{"citationItems":[{"id":"ITEM-1","itemData":{"DOI":"10.3390/healthcare11081119","abstract":"The communication attitude (ACO) of nurses can significantly influence patient health outcomes. This work aims to evaluate predictor variables of communication attitude (emotional intelligence and social skills) in nurses and nursing students separately by comparing linear and non-linear methodologies. Two samples participated in this study: 312 nursing professionals and 1369 nursing students. In total, 75.60% of the professionals and 83.80% of the students were women. After signing the informed consent form, their emotional intelligence (TMMS-24), social skills (IHS) and ACO (ACO) were assessed. It was found that ACO through linear regression models in professionals was predicted by emotional repair and, in students, by attention and emotional repair, as well as by low exposure to new situations, low social skills in the academic or work area and high empathy. Overall, the comparative qualitative models show how the combination of different skills related to emotional intelligence and social skills lead to high levels of ACO. Conversely, their low levels result in an absence of ACO. Our results highlight the importance of emotional intelligence, especially emotional repair and empathy, as well as the need to consider ways to encourage the learning of these skills in a formal way. © 2023 by the authors.","author":[{"dropping-particle":"","family":"Sanchis-Giménez","given":"L","non-dropping-particle":"","parse-names":false,"suffix":""},{"dropping-particle":"","family":"Lacomba-Trejo","given":"L","non-dropping-particle":"","parse-names":false,"suffix":""},{"dropping-particle":"","family":"Prado-Gascó","given":"V","non-dropping-particle":"","parse-names":false,"suffix":""},{"dropping-particle":"","family":"Giménez-Espert","given":"M D C","non-dropping-particle":"","parse-names":false,"suffix":""}],"container-title":"Healthcare (Switzerland)","id":"ITEM-1","issue":"8","issued":{"date-parts":[["2023"]]},"note":"Export Date: 25 August 2026; Cited By: 29","title":"Attitudes towards Communication in Nursing Students and Nurses: Are Social Skills and Emotional Intelligence Important?","type":"article-journal","volume":"11"},"uris":["http://www.mendeley.com/documents/?uuid=e83a92d1-8bc9-4e04-9919-ac601343def7"]}],"mendeley":{"formattedCitation":"(Sanchis-Giménez et al., 2023)","plainTextFormattedCitation":"(Sanchis-Giménez et al., 2023)","previouslyFormattedCitation":"(Sanchis-Giménez et al.,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(Sanchis-Giménez et al., 2023)</w:t>
      </w:r>
      <w:r w:rsidR="004618D1">
        <w:rPr>
          <w:rFonts w:ascii="Book Antiqua" w:hAnsi="Book Antiqua"/>
          <w:sz w:val="20"/>
          <w:szCs w:val="20"/>
        </w:rPr>
        <w:fldChar w:fldCharType="end"/>
      </w:r>
      <w:r w:rsidRPr="00BF3499">
        <w:rPr>
          <w:rFonts w:ascii="Book Antiqua" w:hAnsi="Book Antiqua"/>
          <w:sz w:val="20"/>
          <w:szCs w:val="20"/>
        </w:rPr>
        <w:t xml:space="preserve">. De manera concordante, una revisión de alcance en enfermería de salud mental destacó la autoconciencia como antecedente de la regulación emocional y la empatía como elemento central de las relaciones asistenciales y comunicativas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{"citationItems":[{"id":"ITEM-1","itemData":{"DOI":"10.1016/j.nepr.2026.104776","abstract":"Aim: To map the existing evidence on emotional management strategies used by mental health nurses and explore implications for education, curriculum and clinical practice. Background: Emotional competence is a component of mental health nursing, where nurses are frequently exposed to emotionally complex and demanding interactions. Despite its relevance, evidence remains fragmented regarding how emotional management strategies can inform the education and preparation of mental health nurses. Design: Scoping review. Methods: The review was conducted following the JBI methodology and PRISMA-ScR guidelines. Searches were conducted in MEDLINE, CINAHL and PsycINFO from 2015 to 2024. Studies addressing emotional management strategies among mental health nurses were included. Data were charted and synthesised using thematic analysis. Results: Five studies from Portugal, Canada and the United States met the inclusion criteria. Four key themes were identified: (1) emotional management as a foundational professional competence; (2) education for emotional intelligence through structured training and reflective practice; (3) empathy as central to therapeutic engagement; and (4) self-awareness as a prerequisite for effective emotional regulation. Strategies such as clinical supervision, emotional intelligence training and reflective learning were associated with improved communication, personalised care, increased professional confidence and reduced burnout. Conclusion: Integrating the development of emotional competence into nursing education through structured learning, reflective pedagogies and supervised clinical experiences may enhance resilience, relational competence and preparedness for mental health nursing practice. Implications for Practice: Embedding emotional intelligence, empathy and self-awareness within nursing curricula can strengthen students’ emotional preparedness, promote wellbeing and support sustainable mental health nursing practice across diverse care settings. © 2026 Elsevier Ltd","author":[{"dropping-particle":"","family":"Moreira","given":"M T","non-dropping-particle":"","parse-names":false,"suffix":""},{"dropping-particle":"","family":"Lima","given":"A","non-dropping-particle":"","parse-names":false,"suffix":""},{"dropping-particle":"","family":"Ferreira","given":"S","non-dropping-particle":"","parse-names":false,"suffix":""},{"dropping-particle":"","family":"Fernandes","given":"C","non-dropping-particle":"","parse-names":false,"suffix":""}],"container-title":"Nurse Education in Practice","id":"ITEM-1","issued":{"date-parts":[["2026"]]},"note":"Export Date: 25 August 2026; Cited By: 2","title":"Emotional management, empathy and emotional intelligence in mental health nursing: Educational insights from a scoping review","type":"article-journal","volume":"92"},"uris":["http://www.mendeley.com/documents/?uuid=9eb01bf5-4248-467f-8dd7-1fe93e1bc047"]}],"mendeley":{"formattedCitation":"(Moreira et al., 2026)","plainTextFormattedCitation":"(Moreira et al., 2026)","previouslyFormattedCitation":"(Moreira et al., 2026)"},"properties":{"noteIndex":0},"schema":"https://github.com/citation-style-language/schema/raw/master/csl-citation.json"}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(Moreira et al., 2026)</w:t>
      </w:r>
      <w:r w:rsidR="004618D1">
        <w:rPr>
          <w:rFonts w:ascii="Book Antiqua" w:hAnsi="Book Antiqua"/>
          <w:sz w:val="20"/>
          <w:szCs w:val="20"/>
        </w:rPr>
        <w:fldChar w:fldCharType="end"/>
      </w:r>
      <w:r w:rsidRPr="00BF3499">
        <w:rPr>
          <w:rFonts w:ascii="Book Antiqua" w:hAnsi="Book Antiqua"/>
          <w:sz w:val="20"/>
          <w:szCs w:val="20"/>
        </w:rPr>
        <w:t xml:space="preserve">. Además, la inteligencia emocional en personal médico y de enfermería se encuentra </w:t>
      </w:r>
      <w:r w:rsidRPr="00BF3499">
        <w:rPr>
          <w:rFonts w:ascii="Book Antiqua" w:hAnsi="Book Antiqua"/>
          <w:sz w:val="20"/>
          <w:szCs w:val="20"/>
        </w:rPr>
        <w:lastRenderedPageBreak/>
        <w:t xml:space="preserve">estrechamente vinculada con competencias como empatía, comunicación y tolerancia al estrés, aunque puede variar según características profesionales y organizacionales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{"citationItems":[{"id":"ITEM-1","itemData":{"DOI":"10.3934/publichealth.2025034","abstract":"Background: Emotional intelligence (EI) is a crucial skill in the healthcare industry, closely related to empathy, communication, and stress tolerance. Although EI has been well researched among healthcare workers, there is little information comparing organizational structures. Objective: Our purpose of this study was to examine the EI of medical staff employed by the Armed Forces (military) and National Health System (NHS) hospitals in Athens, Greece, and investigate the connection between EI and professional or demographic traits. Methods: A cross-sectional study was conducted from November 2022 to July 2023 involving 1108 healthcare professionals (nurses and physicians) recruited through convenience sampling. Participants worked in ICUs, surgical, and medical departments of four military and three NHS hospitals in Attica EI was measured using the Greek-validated Wong and Law EI Scale (WLEIS). Bivariate and multivariable linear regression analyses were carried out. Analyses of bivariate and multivariable linear regression were performed. Results: Healthcare professionals in NHS hospitals demonstrated significantly higher EI scores across all dimensions compared to those in military hospitals (p &lt; 0.001). Contrary to several earlier findings, male professionals showed higher values in emotional regulation and overall, EI. Higher EI is related to greater professional experience and permanent work status. Healthcare professionals who were working on rotated shifts reported higher scores for EI compared with those who were working morning shifts. Conclusions: The EI of medical and nursing staff is influenced by work experience, employment stability, and organizational structure. Military hospitals and the hierarchical structures of such hospitals may pose an obstacle to emotional growth and expression. This underscores the necessity of specialized EI training in these settings. Finally, these results highlight the necessity of the development of EI to enhance patient care and teamwork. © 2025 the Author(s), licensee AIMS Press. This is an open access article distributed under the terms of the Creative Commons Attribution License (https://creativecommons.org/licenses/by/4.0)","author":[{"dropping-particle":"","family":"Diamantidou","given":"V","non-dropping-particle":"","parse-names":false,"suffix":""},{"dropping-particle":"","family":"Fradelos","given":"E C","non-dropping-particle":"","parse-names":false,"suffix":""},{"dropping-particle":"","family":"Kalokairinou","given":"A","non-dropping-particle":"","parse-names":false,"suffix":""},{"dropping-particle":"","family":"Kaitelidou","given":"D","non-dropping-particle":"","parse-names":false,"suffix":""},{"dropping-particle":"","family":"Galanis","given":"P","non-dropping-particle":"","parse-names":false,"suffix":""}],"container-title":"AIMS Public Health","id":"ITEM-1","issue":"3","issued":{"date-parts":[["2025"]]},"note":"Export Date: 24 August 2026; Cited By: 2","page":"657-674","title":"Comparing predictors of emotional intelligence among medical and nursing staff in national health system and military hospitals: A cross-sectional study in Greece","type":"article-journal","volume":"12"},"uris":["http://www.mendeley.com/documents/?uuid=f1b4cb82-20ea-4cc9-be81-b8d4ea685fce"]}],"mendeley":{"formattedCitation":"(Diamantidou et al., 2025)","plainTextFormattedCitation":"(Diamantidou et al., 2025)","previouslyFormattedCitation":"(Diamantidou et al., 2025)"},"properties":{"noteIndex":0},"schema":"https://github.com/citation-style-language/schema/raw/master/csl-citation.json"}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(Diamantidou et al., 2025)</w:t>
      </w:r>
      <w:r w:rsidR="004618D1">
        <w:rPr>
          <w:rFonts w:ascii="Book Antiqua" w:hAnsi="Book Antiqua"/>
          <w:sz w:val="20"/>
          <w:szCs w:val="20"/>
        </w:rPr>
        <w:fldChar w:fldCharType="end"/>
      </w:r>
      <w:r w:rsidRPr="00BF3499">
        <w:rPr>
          <w:rFonts w:ascii="Book Antiqua" w:hAnsi="Book Antiqua"/>
          <w:sz w:val="20"/>
          <w:szCs w:val="20"/>
        </w:rPr>
        <w:t>.</w:t>
      </w:r>
    </w:p>
    <w:p w14:paraId="735415E1" w14:textId="396A4D98"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La calidad de estos procesos comunicativos posee implicancias que trascienden las relaciones interpersonales y pueden alcanzar resultados relevantes para trabajadores y organizaciones. Entre enfermeras hospitalarias, la satisfacción con la comunicación organizacional se ha asociado positivamente con la competencia para la seguridad de la medicación, conjuntamente con el clima de seguridad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{"citationItems":[{"id":"ITEM-1","itemData":{"DOI":"10.11111/jkana.2022.28.3.297","abstract":"Purpose: The purpose of this study was to investigate the influences of hospital nurse's organizational communication satisfaction and safety climate on their medication safety competence. Methods: Data were collected from 131 hospital nurses who administer medications at hospitals in the metropolitan areas. Data were analyzed utilizing descriptive statistics, t-test, ANOVA, Scheffe's test, Pearson's correlation coefficients, and hierarchical multiple regression. Results: Medication safety competence was significantly relations to organizational communication satisfaction (r=.52, p&lt;.001) and safety climate (r=.54, p&lt;.001). Organizational communication satisfaction, safety climate, age 31</w:instrText>
      </w:r>
      <w:r w:rsidR="004618D1">
        <w:rPr>
          <w:rFonts w:ascii="Cambria Math" w:hAnsi="Cambria Math" w:cs="Cambria Math"/>
          <w:sz w:val="20"/>
          <w:szCs w:val="20"/>
        </w:rPr>
        <w:instrText>∼</w:instrText>
      </w:r>
      <w:r w:rsidR="004618D1">
        <w:rPr>
          <w:rFonts w:ascii="Book Antiqua" w:hAnsi="Book Antiqua"/>
          <w:sz w:val="20"/>
          <w:szCs w:val="20"/>
        </w:rPr>
        <w:instrText>35 years and over 36 year, clinical experience 5</w:instrText>
      </w:r>
      <w:r w:rsidR="004618D1">
        <w:rPr>
          <w:rFonts w:ascii="Cambria Math" w:hAnsi="Cambria Math" w:cs="Cambria Math"/>
          <w:sz w:val="20"/>
          <w:szCs w:val="20"/>
        </w:rPr>
        <w:instrText>∼</w:instrText>
      </w:r>
      <w:r w:rsidR="004618D1">
        <w:rPr>
          <w:rFonts w:ascii="Book Antiqua" w:hAnsi="Book Antiqua"/>
          <w:sz w:val="20"/>
          <w:szCs w:val="20"/>
        </w:rPr>
        <w:instrText>10 years and 10 or more years and surgical department influenced on medication safety competence. These factors explained 47.0% of clinical nurse's medication safety competence (p&lt;.001). Conclusion: Organizational communication satisfaction and safety climate had effects on nurses' medication safety competence. It is needed to formulate strategies to make an organizational climate where the level of communication within the hospital improve and safety is considered a top priority to increase the medication safety competence of hospital nurses.  © 2022 Korean Academy of Nursing Administration.","author":[{"dropping-particle":"","family":"Song","given":"G","non-dropping-particle":"","parse-names":false,"suffix":""},{"dropping-particle":"","family":"Kim","given":"O","non-dropping-particle":"","parse-names":false,"suffix":""}],"container-title":"Journal of Korean Academy of Nursing Administration","id":"ITEM-1","issue":"3","issued":{"date-parts":[["2022"]]},"note":"Export Date: 25 August 2026; Cited By: 3","page":"297-306","title":"Influences of Organizational Communication Satisfaction and Safety Climate on Medication Safety Competence in Hospital Nurse","type":"article-journal","volume":"28"},"uris":["http://www.mendeley.com/documents/?uuid=8e47e540-fb10-40a6-b420-6ea0f1c786a3"]}],"mendeley":{"formattedCitation":"(Song &amp; Kim, 2022)","plainTextFormattedCitation":"(Song &amp; Kim, 2022)","previouslyFormattedCitation":"(Song &amp; Kim, 2022)"},"properties":{"noteIndex":0},"schema":"https://github.com/citation-style-language/schema/raw/master/csl-citation.json"}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(Song &amp; Kim, 2022)</w:t>
      </w:r>
      <w:r w:rsidR="004618D1">
        <w:rPr>
          <w:rFonts w:ascii="Book Antiqua" w:hAnsi="Book Antiqua"/>
          <w:sz w:val="20"/>
          <w:szCs w:val="20"/>
        </w:rPr>
        <w:fldChar w:fldCharType="end"/>
      </w:r>
      <w:r w:rsidRPr="00BF3499">
        <w:rPr>
          <w:rFonts w:ascii="Book Antiqua" w:hAnsi="Book Antiqua"/>
          <w:sz w:val="20"/>
          <w:szCs w:val="20"/>
        </w:rPr>
        <w:t xml:space="preserve">. A nivel organizacional, un estudio realizado con 58 888 trabajadores de sistemas regionales de salud italianos mostró que una comunicación interna percibida como de mayor calidad se relacionaba positivamente con la satisfacción laboral, mientras que las reuniones internas y la capacitación en comunicación constituían antecedentes de mejores procesos comunicativos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{"citationItems":[{"id":"ITEM-1","itemData":{"DOI":"10.1108/IJPSM-07-2024-0222","abstract":"Purpose: Communication and job satisfaction are two key factors for the success of public organisations. The study aims, firstly, to examine the effects of training activities and internal meetings on the perceived quality of communication processes; secondly, to explore the nuanced relationship between communication and job satisfaction. Design/methodology/approach: This is a cross-sectional study based on results from organisational climate surveys conducted between 2019 and 2020 in six Italian Regional Healthcare Systems, involving a total of 58,888 employees. Linear regression models were performed. Findings: Results highlight that employee satisfaction is positively influenced by high-quality internal communication. The organisation of frequent internal meetings and the offer of ad hoc training sessions on communication were found to be antecedents of good communication. Practical implications: The study offers practical implications for healthcare organisations, highlighting specific strategies that can be employed to enhance internal communication and, subsequently, job satisfaction. The emphasis on training programmes and internal meetings provides actionable insights for organisational improvement. Originality/value: The originality and value of this study lie in its unique large datasets, which significantly strengthen the reliability of the findings and make them more applicable to a wider range of contexts. Also, the exploration of the relationship between internal communication processes and job satisfaction within public healthcare organisations contributes to the growing body of knowledge in organisational studies. © 2024, Luca Pirrotta, Amerigo Ferrari, Paola Cantarelli and Nicola Belle.","author":[{"dropping-particle":"","family":"Pirrotta","given":"L","non-dropping-particle":"","parse-names":false,"suffix":""},{"dropping-particle":"","family":"Ferrari","given":"A","non-dropping-particle":"","parse-names":false,"suffix":""},{"dropping-particle":"","family":"Cantarelli","given":"P","non-dropping-particle":"","parse-names":false,"suffix":""},{"dropping-particle":"","family":"Belle","given":"N","non-dropping-particle":"","parse-names":false,"suffix":""}],"container-title":"International Journal of Public Sector Management","id":"ITEM-1","issued":{"date-parts":[["2024"]]},"note":"Export Date: 24 August 2026; Cited By: 6","title":"Communication and job satisfaction among public employees: evidence from large-scale surveys with healthcare professionals","type":"article-journal"},"uris":["http://www.mendeley.com/documents/?uuid=6e4b5029-b163-42f2-820b-1ed115970350"]}],"mendeley":{"formattedCitation":"(Pirrotta et al., 2024)","plainTextFormattedCitation":"(Pirrotta et al., 2024)","previouslyFormattedCitation":"(Pirrotta et al., 2024)"},"properties":{"noteIndex":0},"schema":"https://github.com/citation-style-language/schema/raw/master/csl-citation.json"}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(Pirrotta et al., 2024)</w:t>
      </w:r>
      <w:r w:rsidR="004618D1">
        <w:rPr>
          <w:rFonts w:ascii="Book Antiqua" w:hAnsi="Book Antiqua"/>
          <w:sz w:val="20"/>
          <w:szCs w:val="20"/>
        </w:rPr>
        <w:fldChar w:fldCharType="end"/>
      </w:r>
      <w:r w:rsidRPr="00BF3499">
        <w:rPr>
          <w:rFonts w:ascii="Book Antiqua" w:hAnsi="Book Antiqua"/>
          <w:sz w:val="20"/>
          <w:szCs w:val="20"/>
        </w:rPr>
        <w:t xml:space="preserve">. Asimismo, las habilidades individuales de comunicación y el clima comunicativo de los equipos se han vinculado con una mayor realización profesional y, a través de ella, con menores niveles de agotamiento entre profesionales clínicos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{"citationItems":[{"id":"ITEM-1","itemData":{"DOI":"10.1097/JOM.0000000000003355","abstract":"Objective Effective communication in interprofessional settings is a key modifiable factor in addressing burnout among health care professionals. Previous research has paid less attention to the multilevel nature of interprofessional communication. This paper proposes a model explaining how individual-level factors (communication skills and uncertainty tolerance) and group-level factors (teamwork and response to errors) are linked to burnout via professional fulfillment. Methods Survey data were gathered from clinical health professionals in a tertiary teaching hospital in the United States. Multivariate linear regression and structural equation models were used to test our hypotheses. Results Individual-level communication skills and uncertainty tolerance and group-level teamwork and response to error were positively associated with professional fulfillment, which in turn tempered burnout among clinical professionals. Conclusions Enhancing individual communication skills and organizational communication climate are likely to mitigate burnout and enhance fulfillment among clinical professionals. © 2025 American College of Occupational and Environmental Medicine.","author":[{"dropping-particle":"","family":"Zheng","given":"X","non-dropping-particle":"","parse-names":false,"suffix":""},{"dropping-particle":"","family":"Preis","given":"H","non-dropping-particle":"","parse-names":false,"suffix":""},{"dropping-particle":"","family":"Whitney","given":"C","non-dropping-particle":"","parse-names":false,"suffix":""},{"dropping-particle":"","family":"Bojsza","given":"E","non-dropping-particle":"","parse-names":false,"suffix":""},{"dropping-particle":"","family":"Pati","given":"S","non-dropping-particle":"","parse-names":false,"suffix":""}],"container-title":"Journal of Occupational and Environmental Medicine","id":"ITEM-1","issue":"6","issued":{"date-parts":[["2025"]]},"note":"Export Date: 25 August 2026; Cited By: 4","page":"425-430","title":"Burnout and Professional Fulfillment: Associations With Interprofessional Communication Skills and Climate Among Clinical Health Professionals","type":"article-journal","volume":"67"},"uris":["http://www.mendeley.com/documents/?uuid=19b36dc2-fd94-40ca-b2e7-9f28452182b6"]}],"mendeley":{"formattedCitation":"(Zheng et al., 2025)","plainTextFormattedCitation":"(Zheng et al., 2025)","previouslyFormattedCitation":"(Zheng et al., 2025)"},"properties":{"noteIndex":0},"schema":"https://github.com/citation-style-language/schema/raw/master/csl-citation.json"}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(Zheng et al., 2025)</w:t>
      </w:r>
      <w:r w:rsidR="004618D1">
        <w:rPr>
          <w:rFonts w:ascii="Book Antiqua" w:hAnsi="Book Antiqua"/>
          <w:sz w:val="20"/>
          <w:szCs w:val="20"/>
        </w:rPr>
        <w:fldChar w:fldCharType="end"/>
      </w:r>
      <w:r w:rsidRPr="00BF3499">
        <w:rPr>
          <w:rFonts w:ascii="Book Antiqua" w:hAnsi="Book Antiqua"/>
          <w:sz w:val="20"/>
          <w:szCs w:val="20"/>
        </w:rPr>
        <w:t>. Por tanto, comprender los factores asociados con la comunicación interna puede aportar información relevante para la coordinación, el bienestar laboral y el funcionamiento de los servicios sanitarios.</w:t>
      </w:r>
    </w:p>
    <w:p w14:paraId="7BD84D66" w14:textId="3F3B040B"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A pesar de esta importancia, el conocimiento disponible presenta limitaciones conceptuales y metodológicas. Una revisión sobre comunicación interprofesional en unidades de cuidados intensivos encontró que solo una minoría de los estudios analizados definía explícitamente la comunicación y que una parte considerable la conceptualizaba principalmente como transferencia de información, lo que reduce la consideración de su naturaleza relacional y procesual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{"citationItems":[{"id":"ITEM-1","itemData":{"DOI":"10.1080/17538068.2023.2297124","abstract":"Background: Clinical errors in intensive care units (ICUs) are consistently attributed to communication errors. Despite its importance for patient safety and quality in critical care settings, few studies consider interprofessional communication as more than the basic exchange of information. Methods: We conducted a scoping review of interprofessional communication in ICUs to (1) characterize how communication is defined and measured and (2) identify contributions the field of health communication can make to team communication in ICUs. Through a series of queries in PubMed and Communication and Mass Media Complete databases, we identified and compared persistent gaps in how communication is framed and theorized in 28 publications from health services and 6 from social science outlets. We identified research priorities and suggested strategies for discussing communication more holistically in future health services research. Results: 34 articles published from 1999 to 2021 were included. Six explicitly defined communication. Six were published in social science journals, but none were authored by a communication studies scholar. Half of the articles addressed communication as a transaction focused on information transfer, and the other half addressed communication as a process. Conclusions: Methodological implications are identified with the intent to encourage future interdisciplinary collaboration for studying communication in ICUs. We discuss the importance of (1) using language to describe communication that facilitates interdisciplinary engagement, (2) prioritizing communication as a process and using qualitative methods to provide insight, and (3) engaging health communication theories and experts to assist in developing more fruitful research questions and designs. © 2024 Informa UK Limited, trading as Taylor &amp; Francis Group.","author":[{"dropping-particle":"","family":"Johnson","given":"N L","non-dropping-particle":"","parse-names":false,"suffix":""},{"dropping-particle":"","family":"Moeckli","given":"J","non-dropping-particle":"","parse-names":false,"suffix":""}],"container-title":"Journal of Communication in Healthcare","id":"ITEM-1","issue":"2","issued":{"date-parts":[["2024"]]},"note":"Export Date: 24 August 2026; Cited By: 3","page":"130-142","title":"Conceptualizations of interprofessional communication in intensive care units: findings from a scoping review","type":"article-journal","volume":"17"},"uris":["http://www.mendeley.com/documents/?uuid=fd7c7992-1940-48e5-b7b4-23c4689d1884"]}],"mendeley":{"formattedCitation":"(Johnson &amp; Moeckli, 2024)","plainTextFormattedCitation":"(Johnson &amp; Moeckli, 2024)","previouslyFormattedCitation":"(Johnson &amp; Moeckli, 2024)"},"properties":{"noteIndex":0},"schema":"https://github.com/citation-style-language/schema/raw/master/csl-citation.json"}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(Johnson &amp; Moeckli, 2024)</w:t>
      </w:r>
      <w:r w:rsidR="004618D1">
        <w:rPr>
          <w:rFonts w:ascii="Book Antiqua" w:hAnsi="Book Antiqua"/>
          <w:sz w:val="20"/>
          <w:szCs w:val="20"/>
        </w:rPr>
        <w:fldChar w:fldCharType="end"/>
      </w:r>
      <w:r w:rsidRPr="00BF3499">
        <w:rPr>
          <w:rFonts w:ascii="Book Antiqua" w:hAnsi="Book Antiqua"/>
          <w:sz w:val="20"/>
          <w:szCs w:val="20"/>
        </w:rPr>
        <w:t xml:space="preserve">. De forma similar, una revisión de intervenciones destinadas a mejorar la comunicación de equipos sanitarios identificó estrategias heterogéneas, resultados desiguales y un predominio de diseños pre-post basados en la percepción de los participantes; además, numerosos trabajos carecían de fundamentos provenientes de teorías de comunicación o de medidas específicamente comunicativas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{"citationItems":[{"id":"ITEM-1","itemData":{"DOI":"10.1080/10410236.2022.2036439","abstract":"The purpose of this literature review was to identify interventions designed to improve healthcare team communication in the United States. We conducted a review of peer-reviewed, English-language articles describing interventions aimed at improving healthcare team communication. We analyzed articles that met pre-specified inclusion and exclusion criteria and characterized who is testing communication interventions, the rationale for testing, and ways of measuring effectiveness. We descriptively categorized the strength and types of study findings. Thirty articles were retained in our analysis. Most assessments were conducted by academic medical centers, the Veterans Health Administration, and teaching hospitals. Interventions sought to improve teamwork, patient safety, clinical outcomes, costs of care, and enhance provider job satisfaction and well-being. Intervention strategies included didactic lectures, simulation, Crew Resource Management, quality improvement, or a combination of these approaches. The vast majority employed a pre-post survey design and measured outcomes using participant feedback. Many assessments failed to utilize a social science theory or communication-specific measures. Interventions with the best training content were conducted at academic medical centers, used a pre-post design, and utilized statistical analysis to analyze results. While interventions for improving healthcare team communication are diverse and have uneven effectiveness, early markers of success merit continued development and assessment. © 2022 Taylor &amp; Francis Group, LLC.","author":[{"dropping-particle":"","family":"Hathaway","given":"J R","non-dropping-particle":"","parse-names":false,"suffix":""},{"dropping-particle":"","family":"Tarini","given":"B A","non-dropping-particle":"","parse-names":false,"suffix":""},{"dropping-particle":"","family":"Banerjee","given":"S","non-dropping-particle":"","parse-names":false,"suffix":""},{"dropping-particle":"","family":"Smolkin","given":"C O","non-dropping-particle":"","parse-names":false,"suffix":""},{"dropping-particle":"","family":"Koos","given":"J A","non-dropping-particle":"","parse-names":false,"suffix":""},{"dropping-particle":"","family":"Pati","given":"S","non-dropping-particle":"","parse-names":false,"suffix":""}],"container-title":"Health Communication","id":"ITEM-1","issue":"9","issued":{"date-parts":[["2023"]]},"note":"Export Date: 25 August 2026; Cited By: 10","page":"1821-1846","title":"Healthcare team communication training in the United States: A scoping review","type":"article-journal","volume":"38"},"uris":["http://www.mendeley.com/documents/?uuid=1e39e6bc-f249-4a64-ad93-031e90c6ef52"]}],"mendeley":{"formattedCitation":"(Hathaway et al., 2023)","plainTextFormattedCitation":"(Hathaway et al., 2023)","previouslyFormattedCitation":"(Hathaway et al.,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(Hathaway et al., 2023)</w:t>
      </w:r>
      <w:r w:rsidR="004618D1">
        <w:rPr>
          <w:rFonts w:ascii="Book Antiqua" w:hAnsi="Book Antiqua"/>
          <w:sz w:val="20"/>
          <w:szCs w:val="20"/>
        </w:rPr>
        <w:fldChar w:fldCharType="end"/>
      </w:r>
      <w:r w:rsidRPr="00BF3499">
        <w:rPr>
          <w:rFonts w:ascii="Book Antiqua" w:hAnsi="Book Antiqua"/>
          <w:sz w:val="20"/>
          <w:szCs w:val="20"/>
        </w:rPr>
        <w:t xml:space="preserve">. Paralelamente, las revisiones sobre inteligencia emocional en organizaciones sanitarias muestran heterogeneidad en diseños y resultados, lo que todavía dificulta establecer conclusiones uniformes acerca de sus efectos organizacionales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{"citationItems":[{"id":"ITEM-1","itemData":{"DOI":"10.3390/ijerph21111531","abstract":"Emotional intelligence (EQ) in healthcare leadership has been a subject of debate regarding its significance in enhancing job performance and patient-centred care. This systematic review investigates the impact of EQ on organisational performance metrics in healthcare leaders. Eleven studies meeting the inclusion criteria were identified through a comprehensive database search. The findings suggest that EQ positively influences job satisfaction, with emotionally intelligent leaders fostering a positive work environment and commitment among employees. Moreover, EQ correlates negatively with emotional exhaustion, indicating its potential in mitigating burnout rates among healthcare professionals. EQ fosters teamwork, organisational culture and enhances job performance, with higher EQ levels in leaders associated with increased team empowerment and proactivity. Despite the compelling evidence, limitations in the study methodologies and heterogeneity in the reported outcomes challenge the establishment of definitive conclusions. Nevertheless, the findings underscore the importance of EQ in healthcare leadership and its potential to improve organisational dynamics and employee wellbeing. This review highlights the need for further research on EQ’s impact on patient satisfaction and calls for the development of EQ training programmes tailored for healthcare leaders. © 2024 by the authors.","author":[{"dropping-particle":"","family":"Chaudry","given":"A","non-dropping-particle":"","parse-names":false,"suffix":""},{"dropping-particle":"","family":"Hussain","given":"P M","non-dropping-particle":"","parse-names":false,"suffix":""},{"dropping-particle":"","family":"Halari","given":"S","non-dropping-particle":"","parse-names":false,"suffix":""},{"dropping-particle":"","family":"Thakor","given":"S","non-dropping-particle":"","parse-names":false,"suffix":""},{"dropping-particle":"","family":"Sivapalan","given":"A","non-dropping-particle":"","parse-names":false,"suffix":""},{"dropping-particle":"","family":"Ikar","given":"A","non-dropping-particle":"","parse-names":false,"suffix":""},{"dropping-particle":"","family":"Okhiria","given":"T","non-dropping-particle":"","parse-names":false,"suffix":""},{"dropping-particle":"","family":"Meyer","given":"E","non-dropping-particle":"","parse-names":false,"suffix":""}],"container-title":"International Journal of Environmental Research and Public Health","id":"ITEM-1","issue":"11","issued":{"date-parts":[["2024"]]},"note":"Export Date: 25 August 2026; Cited By: 5","title":"What Is the Impact of Leaders with Emotional Intelligence on Proxy Performance Metrics in 21st Century Healthcare?—A Systematic Literature Review","type":"article-journal","volume":"21"},"uris":["http://www.mendeley.com/documents/?uuid=40d04e9e-a7a5-4344-b6c0-409d9c651bff"]}],"mendeley":{"formattedCitation":"(Chaudry et al., 2024)","plainTextFormattedCitation":"(Chaudry et al., 2024)","previouslyFormattedCitation":"(Chaudry et al., 2024)"},"properties":{"noteIndex":0},"schema":"https://github.com/citation-style-language/schema/raw/master/csl-citation.json"}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(Chaudry et al., 2024)</w:t>
      </w:r>
      <w:r w:rsidR="004618D1">
        <w:rPr>
          <w:rFonts w:ascii="Book Antiqua" w:hAnsi="Book Antiqua"/>
          <w:sz w:val="20"/>
          <w:szCs w:val="20"/>
        </w:rPr>
        <w:fldChar w:fldCharType="end"/>
      </w:r>
      <w:r w:rsidRPr="00BF3499">
        <w:rPr>
          <w:rFonts w:ascii="Book Antiqua" w:hAnsi="Book Antiqua"/>
          <w:sz w:val="20"/>
          <w:szCs w:val="20"/>
        </w:rPr>
        <w:t>. Estas limitaciones dificultan integrar ambos campos dentro de un mismo marco explicativo.</w:t>
      </w:r>
    </w:p>
    <w:p w14:paraId="341E3B37" w14:textId="6D4859F3"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La evidencia que examina conjuntamente inteligencia emocional y comunicación confirma que existe una conexión potencial entre ambos fenómenos, pero también muestra que esta relación ha sido abordada desde perspectivas heterogéneas. En enfermeras pediátricas, las habilidades de comunicación actuaron como mediadoras entre inteligencia emocional y satisfacción laboral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{"citationItems":[{"id":"ITEM-1","itemData":{"DOI":"10.4040/jkan.23044","abstract":"Purpose: This study aimed to identify the mediating effects of communication skills and pediatric nurse-parent partnership on the relationship between emotional intelligence and job satisfaction among pediatric nurses. Methods: A survey was administered to 205 pediatric nurses working in children’s, general, and tertiary hospitals situated in Chungcheong province and Seoul. Data were collected in August and September 2022. The collected data were analyzed using SPSS Statistics version 26.0 along with the PROCESS macro program. Results: Emotional intelligence had a significant effect, and was a critical factor affecting the job satisfaction of pediatric nurses. Furthermore, communication skills and nurse-parent partnership had a serial double mediating effect. Conclusion: These findings underscore the signifi-cance of conducting job satisfaction improvement programs, including strategies for augmenting emotional intelligence, bolstering communication skills, and fostering nurse-parent partnership. © 2023 Korean Society of Nursing Science.","author":[{"dropping-particle":"","family":"Lee","given":"D G","non-dropping-particle":"","parse-names":false,"suffix":""},{"dropping-particle":"","family":"Choi","given":"M.-Y.","non-dropping-particle":"","parse-names":false,"suffix":""}],"container-title":"Journal of Korean Academy of Nursing","id":"ITEM-1","issue":"5","issued":{"date-parts":[["2023"]]},"note":"Export Date: 25 August 2026; Cited By: 1","page":"514-524","title":"Effects of Emotional Intelligence on Job Satisfaction of Pediatric Nurses: The Mediating Effect of Communication Skills and Pediatric Nurse-Parent Partnership","type":"article-journal","volume":"53"},"uris":["http://www.mendeley.com/documents/?uuid=c3f85228-94a1-4695-be38-93ab7c1664ab"]}],"mendeley":{"formattedCitation":"(Lee &amp; Choi, 2023)","plainTextFormattedCitation":"(Lee &amp; Choi, 2023)","previouslyFormattedCitation":"(Lee &amp; Choi,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(Lee &amp; Choi, 2023)</w:t>
      </w:r>
      <w:r w:rsidR="004618D1">
        <w:rPr>
          <w:rFonts w:ascii="Book Antiqua" w:hAnsi="Book Antiqua"/>
          <w:sz w:val="20"/>
          <w:szCs w:val="20"/>
        </w:rPr>
        <w:fldChar w:fldCharType="end"/>
      </w:r>
      <w:r w:rsidRPr="00BF3499">
        <w:rPr>
          <w:rFonts w:ascii="Book Antiqua" w:hAnsi="Book Antiqua"/>
          <w:sz w:val="20"/>
          <w:szCs w:val="20"/>
        </w:rPr>
        <w:t xml:space="preserve">, mientras que en enfermeras experimentadas la competencia comunicativa medió completamente la relación entre inteligencia emocional y competencia gerencial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{"citationItems":[{"id":"ITEM-1","itemData":{"DOI":"10.11111/jkana.2024.30.1.79","abstract":"Purpose: To identify the mediating effect of the communication competence on the relationship between emotional intelligence and nursing managerial competence among experienced nurses. Methods: A total of 186 nurses with more than 10 years of experience working in six general hospitals participated. Data were collected using a self-reported questionnaire and analyzed using SPSS Statistics ver. 23.0 and SPSS Process Macro for descriptive statistics, independent t-test, one-way analysis of variance (ANOVA), Scheffé test, Pearson’s correlation coefficient, multiple regression analysis, and bootstrapping method. Results: Nursing managerial competence was significantly associated with emotional intelligence (r=.32, p&lt;.001) and communication competence (r=.42, p&lt;.001). Additionally, communication competence had a complete mediating effect on the relationship between emotional intelligence and nursing managerial competence (indirect effect=0.45, boot SE=0.11, 95% boot CI=[0.25, 0.67]). Conclusion: Strategies for enhancing the experienced nurses’ nursing managerial competence should be considered to improve communication competence as well as emotional intelligence and develop nursing managerial competency-related education programs by career stages. In particular, the nursing management competency-related education should focus on improving human resource management and planning competences. 2024 Korean Academy of Nursing Administration.","author":[{"dropping-particle":"","family":"Kang","given":"Y","non-dropping-particle":"","parse-names":false,"suffix":""},{"dropping-particle":"","family":"Kim","given":"J.-H.","non-dropping-particle":"","parse-names":false,"suffix":""}],"container-title":"Journal of Korean Academy of Nursing Administration","id":"ITEM-1","issue":"1","issued":{"date-parts":[["2024"]]},"note":"Export Date: 25 August 2026; Cited By: 4","page":"79-90","title":"Influence of Emotional Intelligence of Experienced Nurses on Nursing Managerial Competence: Focusing on the Mediating Effect of Communication Competence","type":"article-journal","volume":"30"},"uris":["http://www.mendeley.com/documents/?uuid=6c82854c-cdf6-4424-ad44-d61bb6a106f9"]}],"mendeley":{"formattedCitation":"(Kang &amp; Kim, 2024)","plainTextFormattedCitation":"(Kang &amp; Kim, 2024)","previouslyFormattedCitation":"(Kang &amp; Kim, 2024)"},"properties":{"noteIndex":0},"schema":"https://github.com/citation-style-language/schema/raw/master/csl-citation.json"}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(Kang &amp; Kim, 2024)</w:t>
      </w:r>
      <w:r w:rsidR="004618D1">
        <w:rPr>
          <w:rFonts w:ascii="Book Antiqua" w:hAnsi="Book Antiqua"/>
          <w:sz w:val="20"/>
          <w:szCs w:val="20"/>
        </w:rPr>
        <w:fldChar w:fldCharType="end"/>
      </w:r>
      <w:r w:rsidRPr="00BF3499">
        <w:rPr>
          <w:rFonts w:ascii="Book Antiqua" w:hAnsi="Book Antiqua"/>
          <w:sz w:val="20"/>
          <w:szCs w:val="20"/>
        </w:rPr>
        <w:t xml:space="preserve">. Otros estudios han relacionado inteligencia emocional con habilidades o actitudes comunicativas en enfermería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{"citationItems":[{"id":"ITEM-1","itemData":{"DOI":"10.1186/s12912-025-03679-5","abstract":"Aim: Patients’ outcomes could be improved by using emotional intelligence (EI) in communication. Many of the behavioral skills of nurses are shaped by their EI. This study aims to explore the relationship between the communication skills of nurses working in hospitals and their EI, emphasizing the importance of communication abilities. Method: This cross-sectional study included 350 nurses as a convenience sampling technique working in four government and private hospitals in the southern West Bank of Palestine. The questionnaire consisted of three sections: sociodemographic, EI Goleman’s questionnaire, and communication skills questionnaire. Participants completed a communication skills questionnaire developed by the researcher, along with Goleman’s EI Scale. The validity and reliability of the tools were assessed throughout the study. Data analysis was conducted using descriptive statistics, analysis of variance, and Pearson’s correlation test in SPSS v27. Results: The self-awareness dimension achieved the highest score of 25.50, whereas self-management recorded the lowest at 19.69, resulting in an estimated average EI score of 87.22. In terms of communication instruments, a total possible score ranges from 28 to 140, with higher mean scores indicating high EI. The overall average score for communication skills was 90.23. A significant correlation. For EI, a total possible score ranging from 28 to 140, with higher mean scores indicating high EI. was observed between the total EI score and the overall communication skills score (r = 0.542, p &lt; 0.01), and all four EI dimensions were strongly correlated with the total communication skills score. Conclusion: As EI and its dimensions positively influence nurses’ communication skills, hospital managers can enhance EI by organizing training sessions, promoting communication skills, and establishing a foundation for continuous improvement in hospital services. The in-service training, including monthly meetings and conferences, would benefit nurses by engaging them with EI. Using artificial intelligence could engage nurses in training sessions. Clinical trial number: Not applicable. © The Author(s) 2025.","author":[{"dropping-particle":"","family":"Ghrayeb","given":"F","non-dropping-particle":"","parse-names":false,"suffix":""},{"dropping-particle":"","family":"Zaben","given":"K","non-dropping-particle":"","parse-names":false,"suffix":""},{"dropping-particle":"","family":"Haddad","given":"R H","non-dropping-particle":"","parse-names":false,"suffix":""},{"dropping-particle":"","family":"Ghrayeb","given":"N","non-dropping-particle":"","parse-names":false,"suffix":""},{"dropping-particle":"","family":"Barhoush","given":"M","non-dropping-particle":"","parse-names":false,"suffix":""},{"dropping-particle":"","family":"Zuraikat","given":"N","non-dropping-particle":"","parse-names":false,"suffix":""},{"dropping-particle":"","family":"Abuejheisheh","given":"A J","non-dropping-particle":"","parse-names":false,"suffix":""}],"container-title":"BMC Nursing","id":"ITEM-1","issue":"1","issued":{"date-parts":[["2025"]]},"note":"Export Date: 25 August 2026; Cited By: 6","title":"Exploring the relationship between emotional intelligence and communication skills in nurses: a cross-sectional study","type":"article-journal","volume":"24"},"uris":["http://www.mendeley.com/documents/?uuid=3b81589d-8153-4715-9143-2b00c0c8bdc0"]},{"id":"ITEM-2","itemData":{"DOI":"10.3390/healthcare11081119","abstract":"The communication attitude (ACO) of nurses can significantly influence patient health outcomes. This work aims to evaluate predictor variables of communication attitude (emotional intelligence and social skills) in nurses and nursing students separately by comparing linear and non-linear methodologies. Two samples participated in this study: 312 nursing professionals and 1369 nursing students. In total, 75.60% of the professionals and 83.80% of the students were women. After signing the informed consent form, their emotional intelligence (TMMS-24), social skills (IHS) and ACO (ACO) were assessed. It was found that ACO through linear regression models in professionals was predicted by emotional repair and, in students, by attention and emotional repair, as well as by low exposure to new situations, low social skills in the academic or work area and high empathy. Overall, the comparative qualitative models show how the combination of different skills related to emotional intelligence and social skills lead to high levels of ACO. Conversely, their low levels result in an absence of ACO. Our results highlight the importance of emotional intelligence, especially emotional repair and empathy, as well as the need to consider ways to encourage the learning of these skills in a formal way. © 2023 by the authors.","author":[{"dropping-particle":"","family":"Sanchis-Giménez","given":"L","non-dropping-particle":"","parse-names":false,"suffix":""},{"dropping-particle":"","family":"Lacomba-Trejo","given":"L","non-dropping-particle":"","parse-names":false,"suffix":""},{"dropping-particle":"","family":"Prado-Gascó","given":"V","non-dropping-particle":"","parse-names":false,"suffix":""},{"dropping-particle":"","family":"Giménez-Espert","given":"M D C","non-dropping-particle":"","parse-names":false,"suffix":""}],"container-title":"Healthcare (Switzerland)","id":"ITEM-2","issue":"8","issued":{"date-parts":[["2023"]]},"note":"Export Date: 25 August 2026; Cited By: 29","title":"Attitudes towards Communication in Nursing Students and Nurses: Are Social Skills and Emotional Intelligence Important?","type":"article-journal","volume":"11"},"uris":["http://www.mendeley.com/documents/?uuid=e83a92d1-8bc9-4e04-9919-ac601343def7"]}],"mendeley":{"formattedCitation":"(Ghrayeb et al., 2025; Sanchis-Giménez et al., 2023)","plainTextFormattedCitation":"(Ghrayeb et al., 2025; Sanchis-Giménez et al., 2023)","previouslyFormattedCitation":"(Ghrayeb et al., 2025; Sanchis-Giménez et al.,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(Ghrayeb et al., 2025; Sanchis-Giménez et al., 2023)</w:t>
      </w:r>
      <w:r w:rsidR="004618D1">
        <w:rPr>
          <w:rFonts w:ascii="Book Antiqua" w:hAnsi="Book Antiqua"/>
          <w:sz w:val="20"/>
          <w:szCs w:val="20"/>
        </w:rPr>
        <w:fldChar w:fldCharType="end"/>
      </w:r>
      <w:r w:rsidRPr="00BF3499">
        <w:rPr>
          <w:rFonts w:ascii="Book Antiqua" w:hAnsi="Book Antiqua"/>
          <w:sz w:val="20"/>
          <w:szCs w:val="20"/>
        </w:rPr>
        <w:t xml:space="preserve">, y programas educativos que combinan escucha, comunicación e inteligencia emocional han mostrado mejoras percibidas en la interacción de los equipos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{"citationItems":[{"id":"ITEM-1","itemData":{"DOI":"10.1097/NND.0000000000000868","abstract":"During times of crisis, communication serves as an essential component of patient care. An educational program, previously created to provide knowledge and skills to master concepts of communication, was reexamined for usefulness during the COVID-19 pandemic. Surveyed in 2020, past program participants stated that combining listening skills and concepts of emotional intelligence improved their perceived team communication. Nursing requires communication and conflict management education for effectively functioning teams, which proved paramount during the global pandemic. © Lippincott Williams &amp; Wilkins.","author":[{"dropping-particle":"","family":"Roman","given":"A","non-dropping-particle":"","parse-names":false,"suffix":""},{"dropping-particle":"V","family":"Pineiro","given":"A","non-dropping-particle":"","parse-names":false,"suffix":""}],"container-title":"Journal for Nurses in Professional Development","id":"ITEM-1","issue":"4","issued":{"date-parts":[["2023"]]},"note":"Export Date: 25 August 2026; Cited By: 7","page":"E86-E92","title":"Nursing Communication Skills Training: Added Importance during Crises","type":"article-journal","volume":"39"},"uris":["http://www.mendeley.com/documents/?uuid=9a852ca1-2e88-41e7-a280-cce66a617de0"]}],"mendeley":{"formattedCitation":"(Roman &amp; Pineiro, 2023)","plainTextFormattedCitation":"(Roman &amp; Pineiro, 2023)","previouslyFormattedCitation":"(Roman &amp; Pineiro,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(Roman &amp; Pineiro, 2023)</w:t>
      </w:r>
      <w:r w:rsidR="004618D1">
        <w:rPr>
          <w:rFonts w:ascii="Book Antiqua" w:hAnsi="Book Antiqua"/>
          <w:sz w:val="20"/>
          <w:szCs w:val="20"/>
        </w:rPr>
        <w:fldChar w:fldCharType="end"/>
      </w:r>
      <w:r w:rsidRPr="00BF3499">
        <w:rPr>
          <w:rFonts w:ascii="Book Antiqua" w:hAnsi="Book Antiqua"/>
          <w:sz w:val="20"/>
          <w:szCs w:val="20"/>
        </w:rPr>
        <w:t xml:space="preserve">. Incluso una revisión sistemática con metaanálisis encontró que el entrenamiento en inteligencia emocional puede producir mejoras significativas en habilidades de comunicación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{"citationItems":[{"id":"ITEM-1","itemData":{"DOI":"10.1016/j.nedt.2025.106743","abstract":"Aims: This study evaluates the effectiveness of emotional intelligence training on emotional intelligence, resilience, stress, and communication skills among nurses and nursing students. Design: We conducted a systematic review and meta-analysis of the effectiveness of emotional intelligence training in nurses and nursing students. Data sources: Randomised controlled trials were searched in MEDLINE (via PubMed), CINAHL (via EBSCOhost), Web of Science (via Ovid), ERIC (via ProQuest), Cochrane Central Register of Controlled Trials (CENTRAL), and Igaku Chuo Zasshi databases from inception to 9–11 October 2024. Review methods: Two authors independently screened each study and assessed eligibility. Authors calculated the pooled effect estimates associated with nurses' and nursing students' emotional intelligence, resilience, stress, and communication skills using a random-effects meta-analytic model. Results: The search yielded 1731 studies from electronic databases. After removing duplicates, 1294 records remained. Following title and abstract screening, 34 studies qualified for full-text review, of which 11 studies were excluded based on inclusion criteria, leaving 23 studies for analysis. Emotional intelligence training significantly improved emotional intelligence compared to the control group (16 trials, N = 1155; SMD = 1.76 [95 % CI: 1.06 to 2.45]). It also had a significant effect in reducing stress (4 trials, N = 312; SMD = −1.51 [95 % CI: −2.96 to −0.07]) and demonstrated a significant positive effect on communication skills (4 trials, N = 329; SMD = 2.72 [95 % CI: 0.64 to 4.79]). However, it had no significant effect on resilience (2 trials, N = 138; SMD = 2.71 [95 % CI: −1.55 to 6.97]). Conclusions: This study found that emotional intelligence training had a statistically significant positive impact on enhancing emotional intelligence in nursing students and nurses in both the short and long term. It also significantly reduced stress and improved communication skills but had no significant effect on resilience. © 2025 Elsevier Ltd","author":[{"dropping-particle":"","family":"Kawashima","given":"T","non-dropping-particle":"","parse-names":false,"suffix":""},{"dropping-particle":"","family":"Ota","given":"Y","non-dropping-particle":"","parse-names":false,"suffix":""},{"dropping-particle":"","family":"Aikawa","given":"G","non-dropping-particle":"","parse-names":false,"suffix":""},{"dropping-particle":"","family":"Watanabe","given":"M","non-dropping-particle":"","parse-names":false,"suffix":""},{"dropping-particle":"","family":"Ashida","given":"K","non-dropping-particle":"","parse-names":false,"suffix":""},{"dropping-particle":"","family":"Sakuramoto","given":"H","non-dropping-particle":"","parse-names":false,"suffix":""}],"container-title":"Nurse Education Today","id":"ITEM-1","issued":{"date-parts":[["2025"]]},"note":"Export Date: 25 August 2026; Cited By: 37","title":"Effectiveness of emotional intelligence training on nurses' and nursing students' emotional intelligence, resilience, stress, and communication skills: a systematic review and meta-analysis","type":"article-journal","volume":"151"},"uris":["http://www.mendeley.com/documents/?uuid=484df089-eade-465e-bbba-5f2b2690474f"]}],"mendeley":{"formattedCitation":"(Kawashima et al., 2025)","plainTextFormattedCitation":"(Kawashima et al., 2025)","previouslyFormattedCitation":"(Kawashima et al., 2025)"},"properties":{"noteIndex":0},"schema":"https://github.com/citation-style-language/schema/raw/master/csl-citation.json"}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(Kawashima et al., 2025)</w:t>
      </w:r>
      <w:r w:rsidR="004618D1">
        <w:rPr>
          <w:rFonts w:ascii="Book Antiqua" w:hAnsi="Book Antiqua"/>
          <w:sz w:val="20"/>
          <w:szCs w:val="20"/>
        </w:rPr>
        <w:fldChar w:fldCharType="end"/>
      </w:r>
      <w:r w:rsidRPr="00BF3499">
        <w:rPr>
          <w:rFonts w:ascii="Book Antiqua" w:hAnsi="Book Antiqua"/>
          <w:sz w:val="20"/>
          <w:szCs w:val="20"/>
        </w:rPr>
        <w:t>. No obstante, estos trabajos se concentran principalmente en competencias comunicativas individuales, relaciones clínicas, mediaciones o intervenciones formativas; permanece menos desarrollada la evaluación de la comunicación interna organizacional como fenómeno multidimensional y de su relación diferencial con componentes específicos de la inteligencia emocional en trabajadores sanitarios.</w:t>
      </w:r>
    </w:p>
    <w:p w14:paraId="389B85F7" w14:textId="770CE894" w:rsidR="007D2E54"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En este contexto, resulta pertinente analizar conjuntamente ambas variables desde una perspectiva organizacional que permita distinguir el comportamiento de diferentes competencias emocionales frente a la comunicación interna. La evidencia de que la formación en inteligencia emocional puede modificar favorablemente las habilidades comunicativas refuerza la </w:t>
      </w:r>
      <w:r w:rsidRPr="00BF3499">
        <w:rPr>
          <w:rFonts w:ascii="Book Antiqua" w:hAnsi="Book Antiqua"/>
          <w:sz w:val="20"/>
          <w:szCs w:val="20"/>
        </w:rPr>
        <w:lastRenderedPageBreak/>
        <w:t xml:space="preserve">plausibilidad de esta relación, aunque no permite asumir que todas sus dimensiones se comporten de manera equivalente ni establecer causalidad a partir de diseños transversales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{"citationItems":[{"id":"ITEM-1","itemData":{"DOI":"10.1016/j.nedt.2025.106743","abstract":"Aims: This study evaluates the effectiveness of emotional intelligence training on emotional intelligence, resilience, stress, and communication skills among nurses and nursing students. Design: We conducted a systematic review and meta-analysis of the effectiveness of emotional intelligence training in nurses and nursing students. Data sources: Randomised controlled trials were searched in MEDLINE (via PubMed), CINAHL (via EBSCOhost), Web of Science (via Ovid), ERIC (via ProQuest), Cochrane Central Register of Controlled Trials (CENTRAL), and Igaku Chuo Zasshi databases from inception to 9–11 October 2024. Review methods: Two authors independently screened each study and assessed eligibility. Authors calculated the pooled effect estimates associated with nurses' and nursing students' emotional intelligence, resilience, stress, and communication skills using a random-effects meta-analytic model. Results: The search yielded 1731 studies from electronic databases. After removing duplicates, 1294 records remained. Following title and abstract screening, 34 studies qualified for full-text review, of which 11 studies were excluded based on inclusion criteria, leaving 23 studies for analysis. Emotional intelligence training significantly improved emotional intelligence compared to the control group (16 trials, N = 1155; SMD = 1.76 [95 % CI: 1.06 to 2.45]). It also had a significant effect in reducing stress (4 trials, N = 312; SMD = −1.51 [95 % CI: −2.96 to −0.07]) and demonstrated a significant positive effect on communication skills (4 trials, N = 329; SMD = 2.72 [95 % CI: 0.64 to 4.79]). However, it had no significant effect on resilience (2 trials, N = 138; SMD = 2.71 [95 % CI: −1.55 to 6.97]). Conclusions: This study found that emotional intelligence training had a statistically significant positive impact on enhancing emotional intelligence in nursing students and nurses in both the short and long term. It also significantly reduced stress and improved communication skills but had no significant effect on resilience. © 2025 Elsevier Ltd","author":[{"dropping-particle":"","family":"Kawashima","given":"T","non-dropping-particle":"","parse-names":false,"suffix":""},{"dropping-particle":"","family":"Ota","given":"Y","non-dropping-particle":"","parse-names":false,"suffix":""},{"dropping-particle":"","family":"Aikawa","given":"G","non-dropping-particle":"","parse-names":false,"suffix":""},{"dropping-particle":"","family":"Watanabe","given":"M","non-dropping-particle":"","parse-names":false,"suffix":""},{"dropping-particle":"","family":"Ashida","given":"K","non-dropping-particle":"","parse-names":false,"suffix":""},{"dropping-particle":"","family":"Sakuramoto","given":"H","non-dropping-particle":"","parse-names":false,"suffix":""}],"container-title":"Nurse Education Today","id":"ITEM-1","issued":{"date-parts":[["2025"]]},"note":"Export Date: 25 August 2026; Cited By: 37","title":"Effectiveness of emotional intelligence training on nurses' and nursing students' emotional intelligence, resilience, stress, and communication skills: a systematic review and meta-analysis","type":"article-journal","volume":"151"},"uris":["http://www.mendeley.com/documents/?uuid=484df089-eade-465e-bbba-5f2b2690474f"]}],"mendeley":{"formattedCitation":"(Kawashima et al., 2025)","plainTextFormattedCitation":"(Kawashima et al., 2025)","previouslyFormattedCitation":"(Kawashima et al., 2025)"},"properties":{"noteIndex":0},"schema":"https://github.com/citation-style-language/schema/raw/master/csl-citation.json"}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(Kawashima et al., 2025)</w:t>
      </w:r>
      <w:r w:rsidR="004618D1">
        <w:rPr>
          <w:rFonts w:ascii="Book Antiqua" w:hAnsi="Book Antiqua"/>
          <w:sz w:val="20"/>
          <w:szCs w:val="20"/>
        </w:rPr>
        <w:fldChar w:fldCharType="end"/>
      </w:r>
      <w:r w:rsidRPr="00BF3499">
        <w:rPr>
          <w:rFonts w:ascii="Book Antiqua" w:hAnsi="Book Antiqua"/>
          <w:sz w:val="20"/>
          <w:szCs w:val="20"/>
        </w:rPr>
        <w:t>. Por ello, el presente estudio aporta evidencia obtenida en trabajadores de un establecimiento de salud de San Martín, Perú, examinados durante 2023. Su objetivo fue examinar la asociación entre la inteligencia emocional y la comunicación interna en 190 trabajadores y evaluar la contribución estadística de las dimensiones intrapersonal, interpersonal, adaptabilidad, manejo del estrés y estado de ánimo a las diferencias observadas en la comunicación interna, con el propósito de aportar evidencia sobre la interacción entre competencias emocionales y dinámica comunicativa en el contexto organizacional sanitario.</w:t>
      </w:r>
    </w:p>
    <w:p w14:paraId="68FBC564" w14:textId="07F4CF90" w:rsidR="0063380D" w:rsidRDefault="00BF3499" w:rsidP="00477EF0">
      <w:pPr>
        <w:pStyle w:val="Ttulo2"/>
        <w:numPr>
          <w:ilvl w:val="0"/>
          <w:numId w:val="2"/>
        </w:numPr>
        <w:spacing w:before="360" w:after="120"/>
        <w:ind w:left="357" w:hanging="357"/>
        <w:rPr>
          <w:rFonts w:ascii="Book Antiqua" w:hAnsi="Book Antiqua"/>
        </w:rPr>
      </w:pPr>
      <w:r w:rsidRPr="00BF3499">
        <w:rPr>
          <w:rFonts w:ascii="Book Antiqua" w:hAnsi="Book Antiqua"/>
        </w:rPr>
        <w:t>Materiales y métodos</w:t>
      </w:r>
    </w:p>
    <w:p w14:paraId="1930DF08" w14:textId="449B924C"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Se realizó un estudio de enfoque cuantitativo, observacional, no experimental, transversal y analítico durante 2023 en un establecimiento de salud de la región San Martín, Perú. La población estuvo constituida por 250 trabajadores y se seleccionó una muestra de 190 participantes mediante muestreo probabilístico aleatorio simple. La unidad de análisis estuvo conformada por cada trabajador participante. Dado que la investigación fue transversal y las variables se midieron sin intervención ni manipulación experimental, los análisis fueron orientados a examinar asociaciones y capacidad explicativa estadística, sin atribuir relaciones causales.</w:t>
      </w:r>
    </w:p>
    <w:p w14:paraId="02E8F094" w14:textId="29F7CCA7"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Se evaluaron dos variables: inteligencia emocional y comunicación interna. La inteligencia emocional fue medida mediante un cuestionario de 60 ítems estructurado en cinco dimensiones: intrapersonal, interpersonal, adaptabilidad, manejo del estrés y estado de ánimo. Esta organización corresponde al enfoque multidimensional del modelo de Bar-On, cuya aplicación y evaluación psicométrica distingue estos dominios para caracterizar diferentes componentes de la inteligencia emocional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{"citationItems":[{"id":"ITEM-1","itemData":{"DOI":"10.3390/jintelligence13040048","abstract":"Emotional intelligence (EI) plays a pivotal role in youth development, influencing well-being, social adaptation, and academic success. This study aimed to assess age- and gender-related differences in perceived EI among Portuguese youth using the Bar-On Emotional Quotient Inventory: Youth Version (EQ-i:YV), a validated and widely applied tool. A sample of 931 students aged 8 to 16 from various regions of Portugal was evaluated across five EI domains: intrapersonal, interpersonal, stress management, adaptability, and general mood. The results show that emotional intelligence changes during adolescence, with clear age and gender differences. The data shows that as adolescents grow older, their perceived emotional intelligence (PEI) tends to decline, especially in adaptability and intrapersonal skills. While stress management and interpersonal abilities stay steady, they increasingly struggle with self-awareness and emotional regulation. Interpersonal skills remain the strongest, reflecting solid social abilities, while intrapersonal skills are the weakest, pointing to challenges with emotional insight. This means that while social connection and stress resilience hold up, adapting to change and managing emotions become harder with age. Gender differences also emerged, with girls demonstrating higher interpersonal skills and stress management in early adolescence, while boys reported better general mood in mid-adolescence. Despite these differences, no significant variations were found in the global EQi:YV scores. These results challenge the assumption of a linear increase in EI with age and emphasize the importance of a nuanced understanding of EI development. The study highlights the need for interventions that support emotional development throughout adolescence and targeted educational interventions tailored to the specific emotional competencies of different age and gender groups. © 2025 by the author.","author":[{"dropping-particle":"","family":"Candeias","given":"A A","non-dropping-particle":"","parse-names":false,"suffix":""}],"container-title":"Journal of Intelligence","id":"ITEM-1","issue":"4","issued":{"date-parts":[["2025"]]},"note":"Export Date: 26 August 2026; Cited By: 8","title":"Emotional Intelligence in Portuguese Youth: Age and Gender Differences","type":"article-journal","volume":"13"},"uris":["http://www.mendeley.com/documents/?uuid=b7c1d5f2-8634-4e31-bd3f-db9f07eddd94"]},{"id":"ITEM-2","itemData":{"DOI":"10.35869/reined.v23i1.6108","abstract":"A study was conducted to adapt the EQ-i:S5 questionnaire (Bar-On, 2002) for Spanish university students, incorporating the mood factor and assessing its usefulness. Method: The sample included 799 students. Exploratory and confirmatory factor analyses were performed to determine its structure and assess measurement invariance. Reliability was also analyzed, and differences were examined based on gender and academic year. Results: The structure of the EQ-i:S5 was confirmed. Of the original 45 items, 25 showed adequate psychometric properties, forming the revised version EQ-I: S5-SU. Reliability was high, and factorial invariance remained stable across genders. Significant differences were found based on gender and academic year, and all five questionnaire dimensions were necessary to evaluate these differences. A global measure of emotional intelligence was found to be useful for situating an individual on a continuum but did not capture specific individual characteristics. Discussion and Conclusions: The EQ-I:S5-SU is a psychometrically solid instrument for assessing emotional intelligence in Spanish university students. Its validity and reliability support its usefulness for research and intervention. Longitudinal studies are recommended to evaluate their stability and its impact on academic performance and psychological well-being. Copyright © Facultad de CC. de la Educación y Deporte. Universidad de Vigo","author":[{"dropping-particle":"","family":"Fernández García","given":"M P","non-dropping-particle":"","parse-names":false,"suffix":""},{"dropping-particle":"","family":"Méndez-Valdivia","given":"M","non-dropping-particle":"","parse-names":false,"suffix":""},{"dropping-particle":"","family":"Antonio Labra","given":"J","non-dropping-particle":"","parse-names":false,"suffix":""}],"container-title":"Revista de Investigacion en Educacion","id":"ITEM-2","issue":"1","issued":{"date-parts":[["2025"]]},"note":"Export Date: 26 August 2026; Cited By: 1","page":"42-60","title":"Psychometric properties and validation of the EQ-I:S five factor questionary of emotional intelligence (Baron-On, 2002) in Spanish university students","type":"article-journal","volume":"23"},"uris":["http://www.mendeley.com/documents/?uuid=2d9b27bc-d67a-4551-ab77-222e3e92305f"]}],"mendeley":{"formattedCitation":"(Candeias, 2025; Fernández García et al., 2025)","plainTextFormattedCitation":"(Candeias, 2025; Fernández García et al., 2025)","previouslyFormattedCitation":"(Candeias, 2025; Fernández García et al., 2025)"},"properties":{"noteIndex":0},"schema":"https://github.com/citation-style-language/schema/raw/master/csl-citation.json"}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(Candeias, 2025; Fernández García et al., 2025)</w:t>
      </w:r>
      <w:r w:rsidR="004618D1">
        <w:rPr>
          <w:rFonts w:ascii="Book Antiqua" w:hAnsi="Book Antiqua"/>
          <w:sz w:val="20"/>
          <w:szCs w:val="20"/>
        </w:rPr>
        <w:fldChar w:fldCharType="end"/>
      </w:r>
      <w:r w:rsidRPr="00BF3499">
        <w:rPr>
          <w:rFonts w:ascii="Book Antiqua" w:hAnsi="Book Antiqua"/>
          <w:sz w:val="20"/>
          <w:szCs w:val="20"/>
        </w:rPr>
        <w:t>. Los ítems fueron respondidos mediante una escala ordinal tipo Likert de cuatro categorías. La comunicación interna se evaluó mediante un cuestionario de 22 ítems distribuido en cuatro dimensiones: credibilidad, política de comunicación, plan de comunicación y modelo operativo, utilizando una escala Likert de cinco categorías. Los puntajes obtenidos permitieron analizar tanto las variables globales como sus respectivas dimensiones.</w:t>
      </w:r>
    </w:p>
    <w:p w14:paraId="3D6219DC" w14:textId="2A076DA9" w:rsidR="00BF3499" w:rsidRPr="00B7607B" w:rsidRDefault="00BF3499" w:rsidP="00BF3499">
      <w:pPr>
        <w:spacing w:after="120" w:line="240" w:lineRule="auto"/>
        <w:rPr>
          <w:rFonts w:ascii="Book Antiqua" w:hAnsi="Book Antiqua"/>
          <w:sz w:val="20"/>
          <w:szCs w:val="20"/>
          <w:lang w:val="es-ES"/>
        </w:rPr>
      </w:pPr>
      <w:r w:rsidRPr="00BF3499">
        <w:rPr>
          <w:rFonts w:ascii="Book Antiqua" w:hAnsi="Book Antiqua"/>
          <w:sz w:val="20"/>
          <w:szCs w:val="20"/>
        </w:rPr>
        <w:t xml:space="preserve">La validez de contenido de ambos instrumentos fue examinada mediante juicio de cinco expertos, quienes evaluaron la claridad, coherencia y relevancia de los ítems. El empleo de paneles de expertos y pruebas preliminares constituye un procedimiento habitual para examinar la adecuación del contenido durante el desarrollo y adaptación de cuestionarios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{"citationItems":[{"id":"ITEM-1","itemData":{"DOI":"10.1186/s41687-023-00652-1","abstract":"Background: During transition to adulthood and transfer to adult healthcare, emerging adults with chronic conditions are at risk of deteriorating disease control, well-being, and acute, as well as long-term complications. Despite an increasing call for person-centred healthcare services attuned to young peoples’ needs, few validated instruments exist pinpointing adolescents’ and emerging adults’ experiences of preparation for transition and transfer. Thus, the overarching purpose of this study was to develop a person-centred, clinically applicable instrument (Transitional care EXPeriences Questionnaire, TEXP-Q) adjustable to different chronic conditions, although the focus in the present study was Type 1 Diabetes. The specific aim was, therefore, to describe the development and psychometric evaluation of TEXP-Q in emerging adults with Type 1 Diabetes. Methods: Initial development of the TEXP-Q was inspired by existing research. Items were formulated in accordance with consensus recommendations for developing patient-reported measures, and extra consideration was taken to ensure person-centredness. Psychometric evaluation comprised two phases: In phase I, data from cognitive interviews, content validity indexing, and judgement of an expert panel provided information on face and content validity. In phase II, data from a cross-sectional study conducted at eight adult diabetes outpatient clinics in Sweden (n = 163) allowed for explorative factor analysis (EFA), as well as calculation of content validity, reliability and responsiveness. Results: Combining results from cognitive interviews, content validity index values and expert panel judgement, a test version of TEXP-Q was developed, the content and face validity of which were considered good. This version consisted of 17 items answered on a five-point Likert scale, and three open-ended questions answered in free text. During EFA, four items were removed, and a three-factor solution was recognised as most adequate, accounting for 60% cumulative variance and one single cross-loading. After EFA, the instrument comprised 13 questions, divided into three latent factors. Cronbach’s alpha for the complete instrument was 0.866, which indicates good internal consistency. Crohnbach’s alpha approximated to 0.8 for all factors respectively. Conclusion: TEXP-Q is a newly developed, person-centred instrument which has proven to be both valid and reliable when applied to youths with T1D. The questionnaire fills a need …","author":[{"dropping-particle":"","family":"Vallmark","given":"M","non-dropping-particle":"","parse-names":false,"suffix":""},{"dropping-particle":"","family":"Brorsson","given":"A L","non-dropping-particle":"","parse-names":false,"suffix":""},{"dropping-particle":"","family":"Sparud-Lundin","given":"C","non-dropping-particle":"","parse-names":false,"suffix":""},{"dropping-particle":"","family":"Bratt","given":"E.-L.","non-dropping-particle":"","parse-names":false,"suffix":""},{"dropping-particle":"","family":"Moons","given":"P","non-dropping-particle":"","parse-names":false,"suffix":""},{"dropping-particle":"","family":"Saarijärvi","given":"M","non-dropping-particle":"","parse-names":false,"suffix":""},{"dropping-particle":"","family":"Mora","given":"M A","non-dropping-particle":"","parse-names":false,"suffix":""}],"container-title":"Journal of Patient-Reported Outcomes","id":"ITEM-1","issue":"1","issued":{"date-parts":[["2023"]]},"note":"Export Date: 26 August 2026; Cited By: 2","title":"Development and psychometric evaluation of TEXP-Q: a questionnaire measuring transition and transfer experiences in emerging adults with type 1 diabetes","type":"article-journal","volume":"7"},"uris":["http://www.mendeley.com/documents/?uuid=09eebfaa-d7ff-43c6-b092-9022aa261a26"]},{"id":"ITEM-2","itemData":{"DOI":"10.1016/j.rcsop.2025.100702","abstract":"BackgroundThe role of pharmacists in managing urinary tract infections (UTIs) is crucial, yet there is no instrument to assess their attitudes and practices in this area. The study aimed to develop and initially validate a questionnaire to evaluate pharmacists' attitudes and practices concerning patient counselling for UTIs, with the ultimate goal of supporting improvements in pharmacy practice and enhancing the quality of patient care.MethodsThe questionnaire was developed and initially validated (content and face) through a multi-phase mixed-methods approach consisting of: 1) initial item generation applying a comprehensive literature review, 2) first expert panel discussion, 3) content and cultural validation by pharmacists (focus group discussion), 4) second expert panel discussion, and 5) pretesting by the target population. The necessity, relevance, and clarity were assessed by calculating the Content Validity Ratio (CVR), Item-Level Content Validity Index (I-CVI), and Scale-Level Content Validity Index (S-CVI/Ave). Qualitative data was analyzed using an ethnographic content analysis.ResultsThe initial questionnaire consisted of 33 items, divided into two domains: pharmaceutical practice and attitudes. After phases 2–4, all items were rated with satisfactory CVR and I-CVI values (over 0.99 and 0.83, respectively). The final phase of content validation resulted in the questionnaire final version of 25 items with S-CVI/Ave = 0.98 for relevance and S-CVI/Ave = 1 for clarity. Internal consistency analysis demonstrated high reliability for the attitudes toward antibiotics subscale (Cronbach's α = 0.850) and acceptable reliability for the attitudes toward herbal products subscale (Cronbach's α = 0.735).ConclusionsThe developed questionnaire is concise, easy to use and has satisfactory content and face validity. The developed questionnaire can be used to assess pharmacists' practices and attitudes in counselling patients with UTI symptoms, contributing to the identification of areas for improvement in pharmacy practice and patient safety. © 2026 The Authors. Published by Elsevier Inc. This is an open access article under the CC BY-NC-ND license. http://creativecommons.org/licenses/by-nc-nd/4.0/","author":[{"dropping-particle":"","family":"Jovanović","given":"A","non-dropping-particle":"","parse-names":false,"suffix":""},{"dropping-particle":"","family":"Drobac","given":"M","non-dropping-particle":"","parse-names":false,"suffix":""},{"dropping-particle":"","family":"Vidović","given":"B","non-dropping-particle":"","parse-names":false,"suffix":""},{"dropping-particle":"","family":"Krajnović","given":"D","non-dropping-particle":"","parse-names":false,"suffix":""},{"dropping-particle":"","family":"Pavlović","given":"D","non-dropping-particle":"","parse-names":false,"suffix":""},{"dropping-particle":"","family":"Tadić","given":"I","non-dropping-particle":"","parse-names":false,"suffix":""}],"container-title":"Exploratory Research in Clinical and Social Pharmacy","id":"ITEM-2","issued":{"date-parts":[["2026"]]},"note":"Export Date: 26 August 2026; Cited By: 0","title":"Development and initial content and face validation of a questionnaire to evaluate pharmacists' attitudes and practices in counselling urinary tract infection patients: A mixed methods study","type":"article-journal","volume":"21"},"uris":["http://www.mendeley.com/documents/?uuid=6bc5aea3-8f1d-422d-a2b2-941fb23f4285"]}],"mendeley":{"formattedCitation":"(Jovanović et al., 2026; Vallmark et al., 2023)","plainTextFormattedCitation":"(Jovanović et al., 2026; Vallmark et al., 2023)","previouslyFormattedCitation":"(Jovanović et al., 2026; Vallmark et al., 2023)"},"properties":{"noteIndex":0},"schema":"https://github.com/citation-style-language/schema/raw/master/csl-citation.json"}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(Jovanović et al., 2026; Vallmark et al., 2023)</w:t>
      </w:r>
      <w:r w:rsidR="004618D1">
        <w:rPr>
          <w:rFonts w:ascii="Book Antiqua" w:hAnsi="Book Antiqua"/>
          <w:sz w:val="20"/>
          <w:szCs w:val="20"/>
        </w:rPr>
        <w:fldChar w:fldCharType="end"/>
      </w:r>
      <w:r w:rsidRPr="00BF3499">
        <w:rPr>
          <w:rFonts w:ascii="Book Antiqua" w:hAnsi="Book Antiqua"/>
          <w:sz w:val="20"/>
          <w:szCs w:val="20"/>
        </w:rPr>
        <w:t xml:space="preserve">. Posteriormente, se realizó una prueba piloto con 30 participantes y se evaluó la consistencia interna mediante el coeficiente alfa de Cronbach. El cuestionario de inteligencia emocional alcanzó </w:t>
      </w:r>
      <w:r w:rsidRPr="00BF3499">
        <w:rPr>
          <w:rFonts w:ascii="Book Antiqua" w:hAnsi="Book Antiqua" w:hint="eastAsia"/>
          <w:sz w:val="20"/>
          <w:szCs w:val="20"/>
        </w:rPr>
        <w:t>α</w:t>
      </w:r>
      <w:r w:rsidRPr="00BF3499">
        <w:rPr>
          <w:rFonts w:ascii="Book Antiqua" w:hAnsi="Book Antiqua"/>
          <w:sz w:val="20"/>
          <w:szCs w:val="20"/>
        </w:rPr>
        <w:t xml:space="preserve"> = 0,912 y el de comunicación interna </w:t>
      </w:r>
      <w:r w:rsidRPr="00BF3499">
        <w:rPr>
          <w:rFonts w:ascii="Book Antiqua" w:hAnsi="Book Antiqua" w:hint="eastAsia"/>
          <w:sz w:val="20"/>
          <w:szCs w:val="20"/>
        </w:rPr>
        <w:t>α</w:t>
      </w:r>
      <w:r w:rsidRPr="00BF3499">
        <w:rPr>
          <w:rFonts w:ascii="Book Antiqua" w:hAnsi="Book Antiqua"/>
          <w:sz w:val="20"/>
          <w:szCs w:val="20"/>
        </w:rPr>
        <w:t xml:space="preserve"> = 0,889, valores que evidenciaron una adecuada consistencia interna de las mediciones. El uso del alfa de Cronbach junto con procedimientos de validación y pilotaje ha sido ampliamente empleado en la evaluación psicométrica de cuestionarios aplicados en contextos sanitarios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{"citationItems":[{"id":"ITEM-1","itemData":{"DOI":"10.1016/j.sapharm.2023.10.009","abstract":"Background: Skin cancer has emerged as a significant worldwide public health issue, with the global reporting of approximately 1.4 million cases of non-melanoma skin cancer and 287,723 cases of melanoma in 2020. Early detection and prevention are pivotal in battling this disease. However, there is an absence of standardized tools designed to comprehensively gauge these elements. Objective: The study aimed to formulate and examine the validity and reliability of the Knowledge, Attitude, and Practice of Skin Cancer Questionnaire (KAP-SC-Q). Methods: The research was conducted in two phases. Phase I included the generation and construction of items, content validity, and pilot testing. In Phase II, the questionnaire was distributed to 370 non-health background public adults in Malaysia. The validity and reliability of the questionnaire were ascertained using Item Response Theory (IRT) for the knowledge domain, exploratory factor analysis (EFA) for the attitude and practice segments, and Cronbach's alpha. Results: The definitive version of the KAP-SC-Q had 108 items, divided into 17 social demographic, 30 knowledge, 32 attitude, and 29 practice items. Knowledge items had an acceptable range of 0.4–2.0 in the IRT. The EFA revealed that attitude and practice sections contributed to 34.25% and 52.94% of the total observed variance, respectively. The Cronbach's α coefficient was 0.85, signifying good internal consistency. Conclusion: The study validated that KAP-SC-Q exhibits commendable psychometric attributes, marking it as a trustworthy instrument to assess the public's knowledge, attitude, and practices concerning skin cancer. © 2023 The Authors","author":[{"dropping-particle":"","family":"Mohammed","given":"A H","non-dropping-particle":"","parse-names":false,"suffix":""},{"dropping-particle":"","family":"Ying","given":"L H","non-dropping-particle":"","parse-names":false,"suffix":""},{"dropping-particle":"","family":"Boon Hong","given":"M L","non-dropping-particle":"","parse-names":false,"suffix":""},{"dropping-particle":"","family":"Sze Nee","given":"A W","non-dropping-particle":"","parse-names":false,"suffix":""},{"dropping-particle":"","family":"Ying","given":"L S","non-dropping-particle":"","parse-names":false,"suffix":""},{"dropping-particle":"","family":"Ramachandram","given":"D S","non-dropping-particle":"","parse-names":false,"suffix":""},{"dropping-particle":"","family":"Hassan","given":"B A","non-dropping-particle":"","parse-names":false,"suffix":""}],"container-title":"Research in Social and Administrative Pharmacy","id":"ITEM-1","issue":"2","issued":{"date-parts":[["2024"]]},"note":"Export Date: 26 August 2026; Cited By: 11","page":"124-136","title":"Development and validation of a knowledge, attitude, and practice (KAP) questionnaire for skin cancer in the general public: KAP-SC-Q","type":"article-journal","volume":"20"},"uris":["http://www.mendeley.com/documents/?uuid=bbe56e79-60e4-43fb-a494-2d0908eaaea5"]},{"id":"ITEM-2","itemData":{"DOI":"10.3390/healthcare14142049","abstract":"Background/Objectives: The objective of this study was to develop a questionnaire assessing knowledge, attitudes, and practices regarding sexual health care among gynecologic oncology nurses and evaluate its psychometric properties. Methods: The questionnaire was developed using the Knowledge, Attitude, and Practice (KAP) framework as its theoretical foundation, drawing on an extensive literature review and qualitative interviews. The development process was further refined through two rounds of Delphi expert consultation and pilot testing. Using convenience sampling, 517 nurses working in gynecologic oncology settings were recruited from nine hospitals across six provincial-level regions in China (Tianjin, Shanghai, Hebei, Xinjiang, Hunan, and Hainan) between November and December 2024. Participants were randomly split into two distinct subsamples, with one allocated to exploratory factor analysis and the other to confirmatory factor analysis. Results: The final version of the questionnaire included 40 items covering three dimensions. It yielded an overall Cronbach’s α of 0.980, a split-half reliability of 0.919, and a test–retest reliability of 0.982, with the mean content validity index being 0.956. Subsequent exploratory factor analysis yielded three common factors, with item loadings spanning 0.539 to 0.809, and the cumulative variance explained reached 70.467%. The confirmatory factor analysis yielded an adequate model fit, which confirmed the structural stability of the questionnaire. Conclusions: The questionnaire exhibited high reliability and validity, thus making it a rigorous and dependable instrument for evaluating the knowledge, attitudes, and practices of gynecologic oncology nurses in regard to sexual health care. © 2026 by the authors.","author":[{"dropping-particle":"","family":"Sun","given":"Y","non-dropping-particle":"","parse-names":false,"suffix":""},{"dropping-particle":"","family":"Zhang","given":"J","non-dropping-particle":"","parse-names":false,"suffix":""},{"dropping-particle":"","family":"Shi","given":"B","non-dropping-particle":"","parse-names":false,"suffix":""}],"container-title":"Healthcare (Switzerland)","id":"ITEM-2","issue":"14","issued":{"date-parts":[["2026"]]},"note":"Export Date: 26 August 2026; Cited By: 0","title":"Development and Psychometric Validation of a Questionnaire Assessing Gynecologic Oncology Nurses’ Knowledge, Attitude, and Practice in Providing Sexual Health Care","type":"article-journal","volume":"14"},"uris":["http://www.mendeley.com/documents/?uuid=36137e08-7972-4ed0-b189-76e55cff75ce"]}],"mendeley":{"formattedCitation":"(Mohammed et al., 2024; Sun et al., 2026)","plainTextFormattedCitation":"(Mohammed et al., 2024; Sun et al., 2026)","previouslyFormattedCitation":"(Mohammed et al., 2024; Sun et al., 2026)"},"properties":{"noteIndex":0},"schema":"https://github.com/citation-style-language/schema/raw/master/csl-citation.json"}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(Mohammed et al., 2024; Sun et al., 2026)</w:t>
      </w:r>
      <w:r w:rsidR="004618D1">
        <w:rPr>
          <w:rFonts w:ascii="Book Antiqua" w:hAnsi="Book Antiqua"/>
          <w:sz w:val="20"/>
          <w:szCs w:val="20"/>
        </w:rPr>
        <w:fldChar w:fldCharType="end"/>
      </w:r>
    </w:p>
    <w:p w14:paraId="7786DA52" w14:textId="77777777"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Previamente a la recolección de datos se obtuvo autorización de la dirección del establecimiento de salud. Después de la construcción y validación de los instrumentos y de la evaluación piloto de su confiabilidad, se invitó a los trabajadores seleccionados a participar voluntariamente en el estudio. Los cuestionarios fueron administrados de manera virtual y las respuestas obtenidas se organizaron, codificaron y consolidaron en una base de datos para su posterior análisis. La participación estuvo precedida por un consentimiento informado en el que se comunicó el carácter voluntario del estudio, la confidencialidad de la información y la posibilidad de retirarse sin consecuencias.</w:t>
      </w:r>
    </w:p>
    <w:p w14:paraId="0B7284FC" w14:textId="2B84C621"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Inicialmente se realizó un análisis descriptivo mediante frecuencias y porcentajes para caracterizar los niveles de inteligencia emocional, sus cinco dimensiones, la comunicación interna y sus cuatro dimensiones. La distribución de las puntuaciones fue examinada mediante la prueba </w:t>
      </w:r>
      <w:r w:rsidRPr="00BF3499">
        <w:rPr>
          <w:rFonts w:ascii="Book Antiqua" w:hAnsi="Book Antiqua"/>
          <w:sz w:val="20"/>
          <w:szCs w:val="20"/>
        </w:rPr>
        <w:lastRenderedPageBreak/>
        <w:t xml:space="preserve">de Kolmogorov-Smirnov. Para el análisis inferencial se utilizó un enfoque de modelamiento para respuesta ordinal, considerando la comunicación interna como variable dependiente y la inteligencia emocional, así como cada una de sus dimensiones, como variables explicativas en modelos independientes. La regresión logística ordinal constituye una estrategia apropiada cuando la respuesta conserva un orden entre categorías y permite modelar su asociación con variables explicativas </w:t>
      </w:r>
      <w:r w:rsidR="004618D1">
        <w:rPr>
          <w:rFonts w:ascii="Book Antiqua" w:hAnsi="Book Antiqua"/>
          <w:sz w:val="20"/>
          <w:szCs w:val="20"/>
        </w:rPr>
        <w:fldChar w:fldCharType="begin" w:fldLock="1"/>
      </w:r>
      <w:r w:rsidR="004618D1">
        <w:rPr>
          <w:rFonts w:ascii="Book Antiqua" w:hAnsi="Book Antiqua"/>
          <w:sz w:val="20"/>
          <w:szCs w:val="20"/>
        </w:rPr>
        <w:instrText>ADDIN CSL_CITATION {"citationItems":[{"id":"ITEM-1","itemData":{"DOI":"10.1186/s12880-015-0083-y","abstract":"Background: For optimizing and evaluating image quality in medical imaging, one can use visual grading experiments, where observers rate some aspect of image quality on an ordinal scale. To analyze the grading data, several regression methods are available, and this study aimed at empirically comparing such techniques, in particular when including random effects in the models, which is appropriate for observers and patients. Methods: Data were taken from a previous study where 6 observers graded or ranked in 40 patients the image quality of four imaging protocols, differing in radiation dose and image reconstruction method. The models tested included linear regression, the proportional odds model for ordinal logistic regression, the partial proportional odds model, the stereotype logistic regression model and rank-order logistic regression (for ranking data). In the first two models, random effects as well as fixed effects could be included; in the remaining three, only fixed effects. Results: In general, the goodness of fit (AIC and McFadden's Pseudo R 2) showed small differences between the models with fixed effects only. For the mixed-effects models, higher AIC and lower Pseudo R 2 was obtained, which may be related to the different number of parameters in these models. The estimated potential for dose reduction by new image reconstruction methods varied only slightly between models. Conclusions: The authors suggest that the most suitable approach may be to use ordinal logistic regression, which can handle ordinal data and random effects appropriately. © 2015 Saffari et al.","author":[{"dropping-particle":"","family":"Saffari","given":"S E","non-dropping-particle":"","parse-names":false,"suffix":""},{"dropping-particle":"","family":"Löve","given":"A","non-dropping-particle":"","parse-names":false,"suffix":""},{"dropping-particle":"","family":"Fredrikson","given":"M","non-dropping-particle":"","parse-names":false,"suffix":""},{"dropping-particle":"","family":"Smedby","given":"O","non-dropping-particle":"","parse-names":false,"suffix":""}],"container-title":"BMC Medical Imaging","id":"ITEM-1","issue":"1","issued":{"date-parts":[["2015"]]},"note":"Export Date: 26 August 2026; Cited By: 15","title":"Regression models for analyzing radiological visual grading studies - an empirical comparison","type":"article-journal","volume":"15"},"uris":["http://www.mendeley.com/documents/?uuid=1c898826-9bed-41e0-949c-68e347438c4a"]}],"mendeley":{"formattedCitation":"(Saffari et al., 2015)","plainTextFormattedCitation":"(Saffari et al., 2015)","previouslyFormattedCitation":"(Saffari et al., 2015)"},"properties":{"noteIndex":0},"schema":"https://github.com/citation-style-language/schema/raw/master/csl-citation.json"}</w:instrText>
      </w:r>
      <w:r w:rsidR="004618D1">
        <w:rPr>
          <w:rFonts w:ascii="Book Antiqua" w:hAnsi="Book Antiqua"/>
          <w:sz w:val="20"/>
          <w:szCs w:val="20"/>
        </w:rPr>
        <w:fldChar w:fldCharType="separate"/>
      </w:r>
      <w:r w:rsidR="004618D1" w:rsidRPr="004618D1">
        <w:rPr>
          <w:rFonts w:ascii="Book Antiqua" w:hAnsi="Book Antiqua"/>
          <w:noProof/>
          <w:sz w:val="20"/>
          <w:szCs w:val="20"/>
        </w:rPr>
        <w:t>(Saffari et al., 2015)</w:t>
      </w:r>
      <w:r w:rsidR="004618D1">
        <w:rPr>
          <w:rFonts w:ascii="Book Antiqua" w:hAnsi="Book Antiqua"/>
          <w:sz w:val="20"/>
          <w:szCs w:val="20"/>
        </w:rPr>
        <w:fldChar w:fldCharType="end"/>
      </w:r>
      <w:r w:rsidRPr="00BF3499">
        <w:rPr>
          <w:rFonts w:ascii="Book Antiqua" w:hAnsi="Book Antiqua"/>
          <w:sz w:val="20"/>
          <w:szCs w:val="20"/>
        </w:rPr>
        <w:t>.</w:t>
      </w:r>
    </w:p>
    <w:p w14:paraId="43648180" w14:textId="167EBBAC" w:rsidR="00BF3499" w:rsidRPr="00BF3499" w:rsidRDefault="00BF3499" w:rsidP="00BF3499">
      <w:pPr>
        <w:spacing w:after="120" w:line="240" w:lineRule="auto"/>
        <w:rPr>
          <w:rFonts w:ascii="Book Antiqua" w:hAnsi="Book Antiqua"/>
          <w:sz w:val="20"/>
          <w:szCs w:val="20"/>
        </w:rPr>
      </w:pPr>
      <w:r w:rsidRPr="00BF3499">
        <w:rPr>
          <w:rFonts w:ascii="Book Antiqua" w:hAnsi="Book Antiqua"/>
          <w:sz w:val="20"/>
          <w:szCs w:val="20"/>
        </w:rPr>
        <w:t xml:space="preserve">El ajuste de los modelos se examinó comparando el modelo con solo intercepto frente al modelo final mediante el estadístico −2 log-verosimilitud y la prueba de razón de verosimilitud </w:t>
      </w:r>
      <w:r w:rsidRPr="00BF3499">
        <w:rPr>
          <w:rFonts w:ascii="Book Antiqua" w:hAnsi="Book Antiqua" w:hint="eastAsia"/>
          <w:sz w:val="20"/>
          <w:szCs w:val="20"/>
        </w:rPr>
        <w:t>χ²</w:t>
      </w:r>
      <w:r w:rsidRPr="00BF3499">
        <w:rPr>
          <w:rFonts w:ascii="Book Antiqua" w:hAnsi="Book Antiqua"/>
          <w:sz w:val="20"/>
          <w:szCs w:val="20"/>
        </w:rPr>
        <w:t xml:space="preserve">. Complementariamente, se reportaron los pseudo-R² de Cox-Snell, Nagelkerke y McFadden como indicadores del ajuste relativo y capacidad explicativa de los modelos, sin interpretarlos como porcentajes directos de varianza explicada ni como medidas de causalidad; este tipo de indicadores es utilizado para valorar modelos con desenlaces categóricos u ordinales </w:t>
      </w:r>
      <w:r w:rsidR="004618D1">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{"citationItems":[{"id":"ITEM-1","itemData":{"DOI":"10.1089/neu.2006.0026","abstract":"The univariate prognostic analysis of the IMPACT database on traumatic brain injury (TBI) poses the formidable challenge of how best to summarize a highly complex set of data in a way which is accessible without being overly simplistic. In this paper, we describe and illustrate the battery of statistical methods that have been used. Boxplots, histograms, tabulations, and splines were used for initial data checking and in identifying appropriate transformations for more formal statistical modeling. Imputation techniques were used to minimize the problems associated with the analysis of incomplete data due to missing values. The associations between covariates and outcome (Glasgow Outcome Scale [GOS] assessed at 6 months) were expressed as odds ratios with supporting confidence intervals when the GO1S was collapsed to a dichotomous scale. This was extended to use common odds ratios from proportional odds models to express associations over the full range of the GOS. Forest plots were used to illustrate the consistency of results from study to study within the IMPACT database. The overall prognostic strength of the prognostic factors was expressed as the proportion of variance explained (Nagelkerke's R2 statistic). Many of our approaches are based on simple graphical displays of the data, but, where appropriate, we have also used methods that although established in the statistical literature are relatively novel in their application to TBI. © Mary Ann Liebert, Inc.","author":[{"dropping-particle":"","family":"McHugh","given":"G S","non-dropping-particle":"","parse-names":false,"suffix":""},{"dropping-particle":"","family":"Butcher","given":"I","non-dropping-particle":"","parse-names":false,"suffix":""},{"dropping-particle":"","family":"Steyerberg","given":"E W","non-dropping-particle":"","parse-names":false,"suffix":""},{"dropping-particle":"","family":"Lu","given":"J","non-dropping-particle":"","parse-names":false,"suffix":""},{"dropping-particle":"","family":"Mushkudiani","given":"N","non-dropping-particle":"","parse-names":false,"suffix":""},{"dropping-particle":"","family":"Mabmarou","given":"A","non-dropping-particle":"","parse-names":false,"suffix":""},{"dropping-particle":"","family":"Maas","given":"A I R","non-dropping-particle":"","parse-names":false,"suffix":""},{"dropping-particle":"","family":"Murray","given":"G D","non-dropping-particle":"","parse-names":false,"suffix":""}],"container-title":"Journal of Neurotrauma","id":"ITEM-1","issue":"2","issued":{"date-parts":[["2007"]]},"note":"Export Date: 26 August 2026; Cited By: 48","page":"251-258","title":"Statistical approaches to the univariate prognostic analysis of the IMPACT database on traumatic brain injury","type":"article-journal","volume":"24"},"uris":["http://www.mendeley.com/documents/?uuid=5aece51c-fbae-426c-b0c4-0a6bd0143431"]},{"id":"ITEM-2","itemData":{"DOI":"10.1186/s12880-015-0083-y","abstract":"Background: For optimizing and evaluating image quality in medical imaging, one can use visual grading experiments, where observers rate some aspect of image quality on an ordinal scale. To analyze the grading data, several regression methods are available, and this study aimed at empirically comparing such techniques, in particular when including random effects in the models, which is appropriate for observers and patients. Methods: Data were taken from a previous study where 6 observers graded or ranked in 40 patients the image quality of four imaging protocols, differing in radiation dose and image reconstruction method. The models tested included linear regression, the proportional odds model for ordinal logistic regression, the partial proportional odds model, the stereotype logistic regression model and rank-order logistic regression (for ranking data). In the first two models, random effects as well as fixed effects could be included; in the remaining three, only fixed effects. Results: In general, the goodness of fit (AIC and McFadden's Pseudo R 2) showed small differences between the models with fixed effects only. For the mixed-effects models, higher AIC and lower Pseudo R 2 was obtained, which may be related to the different number of parameters in these models. The estimated potential for dose reduction by new image reconstruction methods varied only slightly between models. Conclusions: The authors suggest that the most suitable approach may be to use ordinal logistic regression, which can handle ordinal data and random effects appropriately. © 2015 Saffari et al.","author":[{"dropping-particle":"","family":"Saffari","given":"S E","non-dropping-particle":"","parse-names":false,"suffix":""},{"dropping-particle":"","family":"Löve","given":"A","non-dropping-particle":"","parse-names":false,"suffix":""},{"dropping-particle":"","family":"Fredrikson","given":"M","non-dropping-particle":"","parse-names":false,"suffix":""},{"dropping-particle":"","family":"Smedby","given":"O","non-dropping-particle":"","parse-names":false,"suffix":""}],"container-title":"BMC Medical Imaging","id":"ITEM-2","issue":"1","issued":{"date-parts":[["2015"]]},"note":"Export Date: 26 August 2026; Cited By: 15","title":"Regression models for analyzing radiological visual grading studies - an empirical comparison","type":"article-journal","volume":"15"},"uris":["http://www.mendeley.com/documents/?uuid=1c898826-9bed-41e0-949c-68e347438c4a"]}],"mendeley":{"formattedCitation":"(McHugh et al., 2007; Saffari et al., 2015)","plainTextFormattedCitation":"(McHugh et al., 2007; Saffari et al., 2015)","previouslyFormattedCitation":"(McHugh et al., 2007; Saffari et al., 2015)"},"properties":{"noteIndex":0},"schema":"https://github.com/citation-style-language/schema/raw/master/csl-citation.json"}</w:instrText>
      </w:r>
      <w:r w:rsidR="004618D1">
        <w:rPr>
          <w:rFonts w:ascii="Book Antiqua" w:hAnsi="Book Antiqua"/>
          <w:sz w:val="20"/>
          <w:szCs w:val="20"/>
        </w:rPr>
        <w:fldChar w:fldCharType="separate"/>
      </w:r>
      <w:r w:rsidR="004618D1" w:rsidRPr="00B7607B">
        <w:rPr>
          <w:rFonts w:ascii="Book Antiqua" w:hAnsi="Book Antiqua"/>
          <w:noProof/>
          <w:sz w:val="20"/>
          <w:szCs w:val="20"/>
          <w:lang w:val="es-ES"/>
        </w:rPr>
        <w:t>(McHugh et al., 2007; Saffari et al., 2015)</w:t>
      </w:r>
      <w:r w:rsidR="004618D1">
        <w:rPr>
          <w:rFonts w:ascii="Book Antiqua" w:hAnsi="Book Antiqua"/>
          <w:sz w:val="20"/>
          <w:szCs w:val="20"/>
        </w:rPr>
        <w:fldChar w:fldCharType="end"/>
      </w:r>
      <w:r w:rsidRPr="00B7607B">
        <w:rPr>
          <w:rFonts w:ascii="Book Antiqua" w:hAnsi="Book Antiqua"/>
          <w:sz w:val="20"/>
          <w:szCs w:val="20"/>
          <w:lang w:val="es-ES"/>
        </w:rPr>
        <w:t xml:space="preserve">. </w:t>
      </w:r>
      <w:r w:rsidRPr="00BF3499">
        <w:rPr>
          <w:rFonts w:ascii="Book Antiqua" w:hAnsi="Book Antiqua"/>
          <w:sz w:val="20"/>
          <w:szCs w:val="20"/>
        </w:rPr>
        <w:t>Los análisis se realizaron mediante IBM SPSS Statistics, versión 26.</w:t>
      </w:r>
    </w:p>
    <w:p w14:paraId="451CCCA6" w14:textId="58D58924" w:rsidR="0000272F" w:rsidRDefault="00BF3499" w:rsidP="00BF3499">
      <w:pPr>
        <w:spacing w:after="120" w:line="240" w:lineRule="auto"/>
        <w:rPr>
          <w:rFonts w:ascii="Book Antiqua" w:hAnsi="Book Antiqua"/>
          <w:sz w:val="20"/>
          <w:szCs w:val="20"/>
        </w:rPr>
      </w:pPr>
      <w:r w:rsidRPr="00BF3499">
        <w:rPr>
          <w:rFonts w:ascii="Book Antiqua" w:hAnsi="Book Antiqua"/>
          <w:sz w:val="20"/>
          <w:szCs w:val="20"/>
        </w:rPr>
        <w:t>La participación fue voluntaria y se obtuvo consentimiento informado antes de responder los instrumentos. Se garantizó la confidencialidad de la información recopilada y el derecho de los participantes a retirarse del estudio. La investigación declaró seguir los principios éticos aplicables a estudios con seres humanos.</w:t>
      </w:r>
    </w:p>
    <w:p w14:paraId="0B7633FC" w14:textId="1EDE4393" w:rsidR="00BF3499" w:rsidRDefault="00BF3499" w:rsidP="00BF3499">
      <w:pPr>
        <w:pStyle w:val="Ttulo2"/>
        <w:numPr>
          <w:ilvl w:val="0"/>
          <w:numId w:val="2"/>
        </w:numPr>
        <w:spacing w:before="360" w:after="120"/>
        <w:ind w:left="357" w:hanging="357"/>
        <w:rPr>
          <w:rFonts w:ascii="Book Antiqua" w:hAnsi="Book Antiqua"/>
        </w:rPr>
      </w:pPr>
      <w:r>
        <w:rPr>
          <w:rFonts w:ascii="Book Antiqua" w:hAnsi="Book Antiqua"/>
        </w:rPr>
        <w:t>Resultados</w:t>
      </w:r>
    </w:p>
    <w:p w14:paraId="209E03E8" w14:textId="77777777" w:rsidR="00BF3499" w:rsidRPr="00BF3499" w:rsidRDefault="00BF3499" w:rsidP="008F58F3">
      <w:pPr>
        <w:spacing w:after="240" w:line="240" w:lineRule="auto"/>
        <w:rPr>
          <w:rFonts w:ascii="Book Antiqua" w:hAnsi="Book Antiqua"/>
          <w:sz w:val="20"/>
          <w:szCs w:val="20"/>
        </w:rPr>
      </w:pPr>
      <w:r w:rsidRPr="00BF3499">
        <w:rPr>
          <w:rFonts w:ascii="Book Antiqua" w:hAnsi="Book Antiqua"/>
          <w:sz w:val="20"/>
          <w:szCs w:val="20"/>
        </w:rPr>
        <w:t>La inteligencia emocional presentó predominantemente un nivel bueno en los trabajadores evaluados (47,9%), seguido del nivel regular (37,9%) y malo (14,2%). Al examinar sus dimensiones, el nivel regular predominó en intrapersonal (48,9%), interpersonal (47,4%), adaptabilidad (53,2%) y manejo del estrés (46,8%), mientras que en estado de ánimo predominó el nivel bueno (57,4%). Entre las dimensiones, adaptabilidad registró la menor proporción de participantes en nivel bueno (27,4%), mientras que estado de ánimo presentó la mayor (57,4%) (Tabla 1).</w:t>
      </w:r>
    </w:p>
    <w:p w14:paraId="69089174" w14:textId="77777777" w:rsidR="00BF3499" w:rsidRPr="00BF3499" w:rsidRDefault="00BF3499" w:rsidP="00BF3499">
      <w:pPr>
        <w:pStyle w:val="Textoindependiente"/>
        <w:ind w:firstLine="0"/>
        <w:rPr>
          <w:rFonts w:ascii="Book Antiqua" w:hAnsi="Book Antiqua"/>
          <w:lang w:val="es-ES"/>
        </w:rPr>
      </w:pPr>
      <w:r w:rsidRPr="00BF3499">
        <w:rPr>
          <w:rFonts w:ascii="Book Antiqua" w:hAnsi="Book Antiqua"/>
          <w:b/>
          <w:bCs/>
          <w:lang w:val="es-ES"/>
        </w:rPr>
        <w:t xml:space="preserve">Tabla 1. </w:t>
      </w:r>
      <w:r w:rsidRPr="00033F42">
        <w:rPr>
          <w:rFonts w:ascii="Book Antiqua" w:hAnsi="Book Antiqua"/>
          <w:lang w:val="es-ES"/>
        </w:rPr>
        <w:t>Distribución de los niveles de inteligencia emocional y sus dimensiones (n = 190)</w:t>
      </w:r>
    </w:p>
    <w:tbl>
      <w:tblPr>
        <w:tblStyle w:val="Tablaconcuadrcula1"/>
        <w:tblW w:w="8500" w:type="dxa"/>
        <w:tblLook w:val="0020" w:firstRow="1" w:lastRow="0" w:firstColumn="0" w:lastColumn="0" w:noHBand="0" w:noVBand="0"/>
      </w:tblPr>
      <w:tblGrid>
        <w:gridCol w:w="2547"/>
        <w:gridCol w:w="1843"/>
        <w:gridCol w:w="1984"/>
        <w:gridCol w:w="2126"/>
      </w:tblGrid>
      <w:tr w:rsidR="00BF3499" w:rsidRPr="00BF3499" w14:paraId="5B5BFF3D" w14:textId="77777777" w:rsidTr="00033F42">
        <w:tc>
          <w:tcPr>
            <w:tcW w:w="2547" w:type="dxa"/>
            <w:tcBorders>
              <w:left w:val="single" w:sz="4" w:space="0" w:color="FFFFFF" w:themeColor="background1"/>
              <w:right w:val="single" w:sz="4" w:space="0" w:color="FFFFFF" w:themeColor="background1"/>
            </w:tcBorders>
            <w:hideMark/>
          </w:tcPr>
          <w:p w14:paraId="08C0F57F"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Variable/dimensión</w:t>
            </w:r>
          </w:p>
        </w:tc>
        <w:tc>
          <w:tcPr>
            <w:tcW w:w="1843" w:type="dxa"/>
            <w:tcBorders>
              <w:left w:val="single" w:sz="4" w:space="0" w:color="FFFFFF" w:themeColor="background1"/>
              <w:right w:val="single" w:sz="4" w:space="0" w:color="FFFFFF" w:themeColor="background1"/>
            </w:tcBorders>
            <w:hideMark/>
          </w:tcPr>
          <w:p w14:paraId="6D96C141"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Malo n (%)</w:t>
            </w:r>
          </w:p>
        </w:tc>
        <w:tc>
          <w:tcPr>
            <w:tcW w:w="1984" w:type="dxa"/>
            <w:tcBorders>
              <w:left w:val="single" w:sz="4" w:space="0" w:color="FFFFFF" w:themeColor="background1"/>
              <w:right w:val="single" w:sz="4" w:space="0" w:color="FFFFFF" w:themeColor="background1"/>
            </w:tcBorders>
            <w:hideMark/>
          </w:tcPr>
          <w:p w14:paraId="4B80DCB0"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Regular n (%)</w:t>
            </w:r>
          </w:p>
        </w:tc>
        <w:tc>
          <w:tcPr>
            <w:tcW w:w="2126" w:type="dxa"/>
            <w:tcBorders>
              <w:left w:val="single" w:sz="4" w:space="0" w:color="FFFFFF" w:themeColor="background1"/>
              <w:right w:val="single" w:sz="4" w:space="0" w:color="FFFFFF" w:themeColor="background1"/>
            </w:tcBorders>
            <w:hideMark/>
          </w:tcPr>
          <w:p w14:paraId="299F325E"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Bueno n (%)</w:t>
            </w:r>
          </w:p>
        </w:tc>
      </w:tr>
      <w:tr w:rsidR="00BF3499" w:rsidRPr="00BF3499" w14:paraId="051082A2" w14:textId="77777777" w:rsidTr="00033F42">
        <w:tc>
          <w:tcPr>
            <w:tcW w:w="2547" w:type="dxa"/>
            <w:tcBorders>
              <w:left w:val="single" w:sz="4" w:space="0" w:color="FFFFFF" w:themeColor="background1"/>
              <w:right w:val="single" w:sz="4" w:space="0" w:color="FFFFFF" w:themeColor="background1"/>
            </w:tcBorders>
            <w:hideMark/>
          </w:tcPr>
          <w:p w14:paraId="735B9EC0"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Inteligencia emocional</w:t>
            </w:r>
          </w:p>
        </w:tc>
        <w:tc>
          <w:tcPr>
            <w:tcW w:w="1843" w:type="dxa"/>
            <w:tcBorders>
              <w:left w:val="single" w:sz="4" w:space="0" w:color="FFFFFF" w:themeColor="background1"/>
              <w:right w:val="single" w:sz="4" w:space="0" w:color="FFFFFF" w:themeColor="background1"/>
            </w:tcBorders>
            <w:hideMark/>
          </w:tcPr>
          <w:p w14:paraId="1CE6128E"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27 (14,2)</w:t>
            </w:r>
          </w:p>
        </w:tc>
        <w:tc>
          <w:tcPr>
            <w:tcW w:w="1984" w:type="dxa"/>
            <w:tcBorders>
              <w:left w:val="single" w:sz="4" w:space="0" w:color="FFFFFF" w:themeColor="background1"/>
              <w:right w:val="single" w:sz="4" w:space="0" w:color="FFFFFF" w:themeColor="background1"/>
            </w:tcBorders>
            <w:hideMark/>
          </w:tcPr>
          <w:p w14:paraId="41628D27"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72 (37,9)</w:t>
            </w:r>
          </w:p>
        </w:tc>
        <w:tc>
          <w:tcPr>
            <w:tcW w:w="2126" w:type="dxa"/>
            <w:tcBorders>
              <w:left w:val="single" w:sz="4" w:space="0" w:color="FFFFFF" w:themeColor="background1"/>
              <w:right w:val="single" w:sz="4" w:space="0" w:color="FFFFFF" w:themeColor="background1"/>
            </w:tcBorders>
            <w:hideMark/>
          </w:tcPr>
          <w:p w14:paraId="7CCDFA84"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91 (47,9)</w:t>
            </w:r>
          </w:p>
        </w:tc>
      </w:tr>
      <w:tr w:rsidR="00BF3499" w:rsidRPr="00BF3499" w14:paraId="6752D2C8" w14:textId="77777777" w:rsidTr="00033F42">
        <w:tc>
          <w:tcPr>
            <w:tcW w:w="2547" w:type="dxa"/>
            <w:tcBorders>
              <w:left w:val="single" w:sz="4" w:space="0" w:color="FFFFFF" w:themeColor="background1"/>
              <w:right w:val="single" w:sz="4" w:space="0" w:color="FFFFFF" w:themeColor="background1"/>
            </w:tcBorders>
            <w:hideMark/>
          </w:tcPr>
          <w:p w14:paraId="65702AE2"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Intrapersonal</w:t>
            </w:r>
          </w:p>
        </w:tc>
        <w:tc>
          <w:tcPr>
            <w:tcW w:w="1843" w:type="dxa"/>
            <w:tcBorders>
              <w:left w:val="single" w:sz="4" w:space="0" w:color="FFFFFF" w:themeColor="background1"/>
              <w:right w:val="single" w:sz="4" w:space="0" w:color="FFFFFF" w:themeColor="background1"/>
            </w:tcBorders>
            <w:hideMark/>
          </w:tcPr>
          <w:p w14:paraId="1B2A1C7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20 (10,5)</w:t>
            </w:r>
          </w:p>
        </w:tc>
        <w:tc>
          <w:tcPr>
            <w:tcW w:w="1984" w:type="dxa"/>
            <w:tcBorders>
              <w:left w:val="single" w:sz="4" w:space="0" w:color="FFFFFF" w:themeColor="background1"/>
              <w:right w:val="single" w:sz="4" w:space="0" w:color="FFFFFF" w:themeColor="background1"/>
            </w:tcBorders>
            <w:hideMark/>
          </w:tcPr>
          <w:p w14:paraId="3993889B"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93 (48,9)</w:t>
            </w:r>
          </w:p>
        </w:tc>
        <w:tc>
          <w:tcPr>
            <w:tcW w:w="2126" w:type="dxa"/>
            <w:tcBorders>
              <w:left w:val="single" w:sz="4" w:space="0" w:color="FFFFFF" w:themeColor="background1"/>
              <w:right w:val="single" w:sz="4" w:space="0" w:color="FFFFFF" w:themeColor="background1"/>
            </w:tcBorders>
            <w:hideMark/>
          </w:tcPr>
          <w:p w14:paraId="6BEC67B1"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77 (40,5)</w:t>
            </w:r>
          </w:p>
        </w:tc>
      </w:tr>
      <w:tr w:rsidR="00BF3499" w:rsidRPr="00BF3499" w14:paraId="6807F528" w14:textId="77777777" w:rsidTr="00033F42">
        <w:tc>
          <w:tcPr>
            <w:tcW w:w="2547" w:type="dxa"/>
            <w:tcBorders>
              <w:left w:val="single" w:sz="4" w:space="0" w:color="FFFFFF" w:themeColor="background1"/>
              <w:right w:val="single" w:sz="4" w:space="0" w:color="FFFFFF" w:themeColor="background1"/>
            </w:tcBorders>
            <w:hideMark/>
          </w:tcPr>
          <w:p w14:paraId="6F6D28A2"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Interpersonal</w:t>
            </w:r>
          </w:p>
        </w:tc>
        <w:tc>
          <w:tcPr>
            <w:tcW w:w="1843" w:type="dxa"/>
            <w:tcBorders>
              <w:left w:val="single" w:sz="4" w:space="0" w:color="FFFFFF" w:themeColor="background1"/>
              <w:right w:val="single" w:sz="4" w:space="0" w:color="FFFFFF" w:themeColor="background1"/>
            </w:tcBorders>
            <w:hideMark/>
          </w:tcPr>
          <w:p w14:paraId="49BCB0D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22 (11,6)</w:t>
            </w:r>
          </w:p>
        </w:tc>
        <w:tc>
          <w:tcPr>
            <w:tcW w:w="1984" w:type="dxa"/>
            <w:tcBorders>
              <w:left w:val="single" w:sz="4" w:space="0" w:color="FFFFFF" w:themeColor="background1"/>
              <w:right w:val="single" w:sz="4" w:space="0" w:color="FFFFFF" w:themeColor="background1"/>
            </w:tcBorders>
            <w:hideMark/>
          </w:tcPr>
          <w:p w14:paraId="66D9B1E0"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90 (47,4)</w:t>
            </w:r>
          </w:p>
        </w:tc>
        <w:tc>
          <w:tcPr>
            <w:tcW w:w="2126" w:type="dxa"/>
            <w:tcBorders>
              <w:left w:val="single" w:sz="4" w:space="0" w:color="FFFFFF" w:themeColor="background1"/>
              <w:right w:val="single" w:sz="4" w:space="0" w:color="FFFFFF" w:themeColor="background1"/>
            </w:tcBorders>
            <w:hideMark/>
          </w:tcPr>
          <w:p w14:paraId="4889C2EE"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78 (41,1)</w:t>
            </w:r>
          </w:p>
        </w:tc>
      </w:tr>
      <w:tr w:rsidR="00BF3499" w:rsidRPr="00BF3499" w14:paraId="701D0BB4" w14:textId="77777777" w:rsidTr="00033F42">
        <w:tc>
          <w:tcPr>
            <w:tcW w:w="2547" w:type="dxa"/>
            <w:tcBorders>
              <w:left w:val="single" w:sz="4" w:space="0" w:color="FFFFFF" w:themeColor="background1"/>
              <w:right w:val="single" w:sz="4" w:space="0" w:color="FFFFFF" w:themeColor="background1"/>
            </w:tcBorders>
            <w:hideMark/>
          </w:tcPr>
          <w:p w14:paraId="1454F16D"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Adaptabilidad</w:t>
            </w:r>
          </w:p>
        </w:tc>
        <w:tc>
          <w:tcPr>
            <w:tcW w:w="1843" w:type="dxa"/>
            <w:tcBorders>
              <w:left w:val="single" w:sz="4" w:space="0" w:color="FFFFFF" w:themeColor="background1"/>
              <w:right w:val="single" w:sz="4" w:space="0" w:color="FFFFFF" w:themeColor="background1"/>
            </w:tcBorders>
            <w:hideMark/>
          </w:tcPr>
          <w:p w14:paraId="19BE99A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37 (19,5)</w:t>
            </w:r>
          </w:p>
        </w:tc>
        <w:tc>
          <w:tcPr>
            <w:tcW w:w="1984" w:type="dxa"/>
            <w:tcBorders>
              <w:left w:val="single" w:sz="4" w:space="0" w:color="FFFFFF" w:themeColor="background1"/>
              <w:right w:val="single" w:sz="4" w:space="0" w:color="FFFFFF" w:themeColor="background1"/>
            </w:tcBorders>
            <w:hideMark/>
          </w:tcPr>
          <w:p w14:paraId="401A225E"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101 (53,2)</w:t>
            </w:r>
          </w:p>
        </w:tc>
        <w:tc>
          <w:tcPr>
            <w:tcW w:w="2126" w:type="dxa"/>
            <w:tcBorders>
              <w:left w:val="single" w:sz="4" w:space="0" w:color="FFFFFF" w:themeColor="background1"/>
              <w:right w:val="single" w:sz="4" w:space="0" w:color="FFFFFF" w:themeColor="background1"/>
            </w:tcBorders>
            <w:hideMark/>
          </w:tcPr>
          <w:p w14:paraId="45A5438B"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52 (27,4)</w:t>
            </w:r>
          </w:p>
        </w:tc>
      </w:tr>
      <w:tr w:rsidR="00BF3499" w:rsidRPr="00BF3499" w14:paraId="7BD994DE" w14:textId="77777777" w:rsidTr="00033F42">
        <w:tc>
          <w:tcPr>
            <w:tcW w:w="2547" w:type="dxa"/>
            <w:tcBorders>
              <w:left w:val="single" w:sz="4" w:space="0" w:color="FFFFFF" w:themeColor="background1"/>
              <w:right w:val="single" w:sz="4" w:space="0" w:color="FFFFFF" w:themeColor="background1"/>
            </w:tcBorders>
            <w:hideMark/>
          </w:tcPr>
          <w:p w14:paraId="2556DAE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Manejo del estrés</w:t>
            </w:r>
          </w:p>
        </w:tc>
        <w:tc>
          <w:tcPr>
            <w:tcW w:w="1843" w:type="dxa"/>
            <w:tcBorders>
              <w:left w:val="single" w:sz="4" w:space="0" w:color="FFFFFF" w:themeColor="background1"/>
              <w:right w:val="single" w:sz="4" w:space="0" w:color="FFFFFF" w:themeColor="background1"/>
            </w:tcBorders>
            <w:hideMark/>
          </w:tcPr>
          <w:p w14:paraId="1019642F"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21 (11,1)</w:t>
            </w:r>
          </w:p>
        </w:tc>
        <w:tc>
          <w:tcPr>
            <w:tcW w:w="1984" w:type="dxa"/>
            <w:tcBorders>
              <w:left w:val="single" w:sz="4" w:space="0" w:color="FFFFFF" w:themeColor="background1"/>
              <w:right w:val="single" w:sz="4" w:space="0" w:color="FFFFFF" w:themeColor="background1"/>
            </w:tcBorders>
            <w:hideMark/>
          </w:tcPr>
          <w:p w14:paraId="39250763"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89 (46,8)</w:t>
            </w:r>
          </w:p>
        </w:tc>
        <w:tc>
          <w:tcPr>
            <w:tcW w:w="2126" w:type="dxa"/>
            <w:tcBorders>
              <w:left w:val="single" w:sz="4" w:space="0" w:color="FFFFFF" w:themeColor="background1"/>
              <w:right w:val="single" w:sz="4" w:space="0" w:color="FFFFFF" w:themeColor="background1"/>
            </w:tcBorders>
            <w:hideMark/>
          </w:tcPr>
          <w:p w14:paraId="5C99302A"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80 (42,1)</w:t>
            </w:r>
          </w:p>
        </w:tc>
      </w:tr>
      <w:tr w:rsidR="00BF3499" w:rsidRPr="00BF3499" w14:paraId="2960E0A2" w14:textId="77777777" w:rsidTr="00033F42">
        <w:trPr>
          <w:trHeight w:val="48"/>
        </w:trPr>
        <w:tc>
          <w:tcPr>
            <w:tcW w:w="2547" w:type="dxa"/>
            <w:tcBorders>
              <w:left w:val="single" w:sz="4" w:space="0" w:color="FFFFFF" w:themeColor="background1"/>
              <w:right w:val="single" w:sz="4" w:space="0" w:color="FFFFFF" w:themeColor="background1"/>
            </w:tcBorders>
            <w:hideMark/>
          </w:tcPr>
          <w:p w14:paraId="65311224"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Estado de ánimo</w:t>
            </w:r>
          </w:p>
        </w:tc>
        <w:tc>
          <w:tcPr>
            <w:tcW w:w="1843" w:type="dxa"/>
            <w:tcBorders>
              <w:left w:val="single" w:sz="4" w:space="0" w:color="FFFFFF" w:themeColor="background1"/>
              <w:right w:val="single" w:sz="4" w:space="0" w:color="FFFFFF" w:themeColor="background1"/>
            </w:tcBorders>
            <w:hideMark/>
          </w:tcPr>
          <w:p w14:paraId="2691D4E8"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20 (10,5)</w:t>
            </w:r>
          </w:p>
        </w:tc>
        <w:tc>
          <w:tcPr>
            <w:tcW w:w="1984" w:type="dxa"/>
            <w:tcBorders>
              <w:left w:val="single" w:sz="4" w:space="0" w:color="FFFFFF" w:themeColor="background1"/>
              <w:right w:val="single" w:sz="4" w:space="0" w:color="FFFFFF" w:themeColor="background1"/>
            </w:tcBorders>
            <w:hideMark/>
          </w:tcPr>
          <w:p w14:paraId="43A19C5A"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61 (32,1)</w:t>
            </w:r>
          </w:p>
        </w:tc>
        <w:tc>
          <w:tcPr>
            <w:tcW w:w="2126" w:type="dxa"/>
            <w:tcBorders>
              <w:left w:val="single" w:sz="4" w:space="0" w:color="FFFFFF" w:themeColor="background1"/>
              <w:right w:val="single" w:sz="4" w:space="0" w:color="FFFFFF" w:themeColor="background1"/>
            </w:tcBorders>
            <w:hideMark/>
          </w:tcPr>
          <w:p w14:paraId="29F7FAE5"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109 (57,4)</w:t>
            </w:r>
          </w:p>
        </w:tc>
      </w:tr>
    </w:tbl>
    <w:p w14:paraId="04967E99" w14:textId="77777777" w:rsidR="00BF3499" w:rsidRPr="00BF3499" w:rsidRDefault="00BF3499" w:rsidP="008F58F3">
      <w:pPr>
        <w:pStyle w:val="Textoindependiente"/>
        <w:spacing w:before="240" w:after="240"/>
        <w:ind w:firstLine="0"/>
        <w:rPr>
          <w:rFonts w:ascii="Book Antiqua" w:hAnsi="Book Antiqua"/>
          <w:lang w:val="es-ES"/>
        </w:rPr>
      </w:pPr>
      <w:r w:rsidRPr="00BF3499">
        <w:rPr>
          <w:rFonts w:ascii="Book Antiqua" w:hAnsi="Book Antiqua"/>
          <w:lang w:val="es-ES"/>
        </w:rPr>
        <w:t>En cuanto a la comunicación interna, el 55,8% de los trabajadores se ubicó en el nivel regular, el 36,8% en el nivel bueno y el 7,4% en el nivel malo. La credibilidad mostró una distribución equivalente entre los niveles regular y bueno (47,4% en ambos casos). En política de comunicación predominó el nivel regular (66,8%), seguido del nivel bueno (30,5%). De manera similar, el plan de comunicación se concentró principalmente en el nivel regular (57,4%), mientras que el modelo operativo presentó mayor frecuencia en el nivel bueno (57,9%) (Tabla 2).</w:t>
      </w:r>
    </w:p>
    <w:p w14:paraId="1C835B99" w14:textId="77777777" w:rsidR="00BF3499" w:rsidRPr="00BF3499" w:rsidRDefault="00BF3499" w:rsidP="00BF3499">
      <w:pPr>
        <w:pStyle w:val="Textoindependiente"/>
        <w:ind w:firstLine="0"/>
        <w:rPr>
          <w:rFonts w:ascii="Book Antiqua" w:hAnsi="Book Antiqua"/>
          <w:lang w:val="es-ES"/>
        </w:rPr>
      </w:pPr>
      <w:r w:rsidRPr="00BF3499">
        <w:rPr>
          <w:rFonts w:ascii="Book Antiqua" w:hAnsi="Book Antiqua"/>
          <w:b/>
          <w:bCs/>
          <w:lang w:val="es-ES"/>
        </w:rPr>
        <w:t xml:space="preserve">Tabla 2. </w:t>
      </w:r>
      <w:r w:rsidRPr="00033F42">
        <w:rPr>
          <w:rFonts w:ascii="Book Antiqua" w:hAnsi="Book Antiqua"/>
          <w:lang w:val="es-ES"/>
        </w:rPr>
        <w:t>Distribución de los niveles de comunicación interna y sus dimensiones (n = 190)</w:t>
      </w:r>
    </w:p>
    <w:tbl>
      <w:tblPr>
        <w:tblStyle w:val="Tablaconcuadrcula1"/>
        <w:tblW w:w="8500" w:type="dxa"/>
        <w:tblLook w:val="0020" w:firstRow="1" w:lastRow="0" w:firstColumn="0" w:lastColumn="0" w:noHBand="0" w:noVBand="0"/>
      </w:tblPr>
      <w:tblGrid>
        <w:gridCol w:w="2547"/>
        <w:gridCol w:w="1843"/>
        <w:gridCol w:w="1984"/>
        <w:gridCol w:w="2126"/>
      </w:tblGrid>
      <w:tr w:rsidR="00BF3499" w:rsidRPr="00BF3499" w14:paraId="58C57C35" w14:textId="77777777" w:rsidTr="00033F42">
        <w:tc>
          <w:tcPr>
            <w:tcW w:w="2547" w:type="dxa"/>
            <w:tcBorders>
              <w:left w:val="single" w:sz="4" w:space="0" w:color="FFFFFF" w:themeColor="background1"/>
              <w:right w:val="single" w:sz="4" w:space="0" w:color="FFFFFF" w:themeColor="background1"/>
            </w:tcBorders>
            <w:hideMark/>
          </w:tcPr>
          <w:p w14:paraId="765DAFE8"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Variable/dimensión</w:t>
            </w:r>
          </w:p>
        </w:tc>
        <w:tc>
          <w:tcPr>
            <w:tcW w:w="1843" w:type="dxa"/>
            <w:tcBorders>
              <w:left w:val="single" w:sz="4" w:space="0" w:color="FFFFFF" w:themeColor="background1"/>
              <w:right w:val="single" w:sz="4" w:space="0" w:color="FFFFFF" w:themeColor="background1"/>
            </w:tcBorders>
            <w:hideMark/>
          </w:tcPr>
          <w:p w14:paraId="03324162"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Malo n (%)</w:t>
            </w:r>
          </w:p>
        </w:tc>
        <w:tc>
          <w:tcPr>
            <w:tcW w:w="1984" w:type="dxa"/>
            <w:tcBorders>
              <w:left w:val="single" w:sz="4" w:space="0" w:color="FFFFFF" w:themeColor="background1"/>
              <w:right w:val="single" w:sz="4" w:space="0" w:color="FFFFFF" w:themeColor="background1"/>
            </w:tcBorders>
            <w:hideMark/>
          </w:tcPr>
          <w:p w14:paraId="3A0307DF"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Regular n (%)</w:t>
            </w:r>
          </w:p>
        </w:tc>
        <w:tc>
          <w:tcPr>
            <w:tcW w:w="2126" w:type="dxa"/>
            <w:tcBorders>
              <w:left w:val="single" w:sz="4" w:space="0" w:color="FFFFFF" w:themeColor="background1"/>
              <w:right w:val="single" w:sz="4" w:space="0" w:color="FFFFFF" w:themeColor="background1"/>
            </w:tcBorders>
            <w:hideMark/>
          </w:tcPr>
          <w:p w14:paraId="2151C37E" w14:textId="77777777" w:rsidR="00BF3499" w:rsidRPr="00033F42" w:rsidRDefault="00BF3499" w:rsidP="00033F42">
            <w:pPr>
              <w:pStyle w:val="Compact"/>
              <w:spacing w:before="0" w:after="0"/>
              <w:jc w:val="center"/>
              <w:rPr>
                <w:rFonts w:ascii="Book Antiqua" w:hAnsi="Book Antiqua"/>
                <w:b/>
                <w:bCs/>
                <w:sz w:val="20"/>
                <w:szCs w:val="20"/>
              </w:rPr>
            </w:pPr>
            <w:r w:rsidRPr="00033F42">
              <w:rPr>
                <w:rFonts w:ascii="Book Antiqua" w:hAnsi="Book Antiqua"/>
                <w:b/>
                <w:bCs/>
                <w:sz w:val="20"/>
                <w:szCs w:val="20"/>
              </w:rPr>
              <w:t>Bueno n (%)</w:t>
            </w:r>
          </w:p>
        </w:tc>
      </w:tr>
      <w:tr w:rsidR="00BF3499" w:rsidRPr="00BF3499" w14:paraId="1835D754" w14:textId="77777777" w:rsidTr="00033F42">
        <w:tc>
          <w:tcPr>
            <w:tcW w:w="2547" w:type="dxa"/>
            <w:tcBorders>
              <w:left w:val="single" w:sz="4" w:space="0" w:color="FFFFFF" w:themeColor="background1"/>
              <w:right w:val="single" w:sz="4" w:space="0" w:color="FFFFFF" w:themeColor="background1"/>
            </w:tcBorders>
            <w:hideMark/>
          </w:tcPr>
          <w:p w14:paraId="2B3AE961"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Comunicación interna</w:t>
            </w:r>
          </w:p>
        </w:tc>
        <w:tc>
          <w:tcPr>
            <w:tcW w:w="1843" w:type="dxa"/>
            <w:tcBorders>
              <w:left w:val="single" w:sz="4" w:space="0" w:color="FFFFFF" w:themeColor="background1"/>
              <w:right w:val="single" w:sz="4" w:space="0" w:color="FFFFFF" w:themeColor="background1"/>
            </w:tcBorders>
            <w:hideMark/>
          </w:tcPr>
          <w:p w14:paraId="0E17E5D7"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14 (7,4)</w:t>
            </w:r>
          </w:p>
        </w:tc>
        <w:tc>
          <w:tcPr>
            <w:tcW w:w="1984" w:type="dxa"/>
            <w:tcBorders>
              <w:left w:val="single" w:sz="4" w:space="0" w:color="FFFFFF" w:themeColor="background1"/>
              <w:right w:val="single" w:sz="4" w:space="0" w:color="FFFFFF" w:themeColor="background1"/>
            </w:tcBorders>
            <w:hideMark/>
          </w:tcPr>
          <w:p w14:paraId="45D9140A"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106 (55,8)</w:t>
            </w:r>
          </w:p>
        </w:tc>
        <w:tc>
          <w:tcPr>
            <w:tcW w:w="2126" w:type="dxa"/>
            <w:tcBorders>
              <w:left w:val="single" w:sz="4" w:space="0" w:color="FFFFFF" w:themeColor="background1"/>
              <w:right w:val="single" w:sz="4" w:space="0" w:color="FFFFFF" w:themeColor="background1"/>
            </w:tcBorders>
            <w:hideMark/>
          </w:tcPr>
          <w:p w14:paraId="33E2A08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70 (36,8)</w:t>
            </w:r>
          </w:p>
        </w:tc>
      </w:tr>
      <w:tr w:rsidR="00BF3499" w:rsidRPr="00BF3499" w14:paraId="4F167F78" w14:textId="77777777" w:rsidTr="00033F42">
        <w:tc>
          <w:tcPr>
            <w:tcW w:w="2547" w:type="dxa"/>
            <w:tcBorders>
              <w:left w:val="single" w:sz="4" w:space="0" w:color="FFFFFF" w:themeColor="background1"/>
              <w:right w:val="single" w:sz="4" w:space="0" w:color="FFFFFF" w:themeColor="background1"/>
            </w:tcBorders>
            <w:hideMark/>
          </w:tcPr>
          <w:p w14:paraId="64927B65"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Credibilidad</w:t>
            </w:r>
          </w:p>
        </w:tc>
        <w:tc>
          <w:tcPr>
            <w:tcW w:w="1843" w:type="dxa"/>
            <w:tcBorders>
              <w:left w:val="single" w:sz="4" w:space="0" w:color="FFFFFF" w:themeColor="background1"/>
              <w:right w:val="single" w:sz="4" w:space="0" w:color="FFFFFF" w:themeColor="background1"/>
            </w:tcBorders>
            <w:hideMark/>
          </w:tcPr>
          <w:p w14:paraId="6294AF46"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10 (5,3)</w:t>
            </w:r>
          </w:p>
        </w:tc>
        <w:tc>
          <w:tcPr>
            <w:tcW w:w="1984" w:type="dxa"/>
            <w:tcBorders>
              <w:left w:val="single" w:sz="4" w:space="0" w:color="FFFFFF" w:themeColor="background1"/>
              <w:right w:val="single" w:sz="4" w:space="0" w:color="FFFFFF" w:themeColor="background1"/>
            </w:tcBorders>
            <w:hideMark/>
          </w:tcPr>
          <w:p w14:paraId="7D150B9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90 (47,4)</w:t>
            </w:r>
          </w:p>
        </w:tc>
        <w:tc>
          <w:tcPr>
            <w:tcW w:w="2126" w:type="dxa"/>
            <w:tcBorders>
              <w:left w:val="single" w:sz="4" w:space="0" w:color="FFFFFF" w:themeColor="background1"/>
              <w:right w:val="single" w:sz="4" w:space="0" w:color="FFFFFF" w:themeColor="background1"/>
            </w:tcBorders>
            <w:hideMark/>
          </w:tcPr>
          <w:p w14:paraId="2B6B5131"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90 (47,4)</w:t>
            </w:r>
          </w:p>
        </w:tc>
      </w:tr>
      <w:tr w:rsidR="00BF3499" w:rsidRPr="00BF3499" w14:paraId="031889C2" w14:textId="77777777" w:rsidTr="00033F42">
        <w:tc>
          <w:tcPr>
            <w:tcW w:w="2547" w:type="dxa"/>
            <w:tcBorders>
              <w:left w:val="single" w:sz="4" w:space="0" w:color="FFFFFF" w:themeColor="background1"/>
              <w:right w:val="single" w:sz="4" w:space="0" w:color="FFFFFF" w:themeColor="background1"/>
            </w:tcBorders>
            <w:hideMark/>
          </w:tcPr>
          <w:p w14:paraId="2D25010D"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Política de comunicación</w:t>
            </w:r>
          </w:p>
        </w:tc>
        <w:tc>
          <w:tcPr>
            <w:tcW w:w="1843" w:type="dxa"/>
            <w:tcBorders>
              <w:left w:val="single" w:sz="4" w:space="0" w:color="FFFFFF" w:themeColor="background1"/>
              <w:right w:val="single" w:sz="4" w:space="0" w:color="FFFFFF" w:themeColor="background1"/>
            </w:tcBorders>
            <w:hideMark/>
          </w:tcPr>
          <w:p w14:paraId="7FA61D1F"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5 (2,6)</w:t>
            </w:r>
          </w:p>
        </w:tc>
        <w:tc>
          <w:tcPr>
            <w:tcW w:w="1984" w:type="dxa"/>
            <w:tcBorders>
              <w:left w:val="single" w:sz="4" w:space="0" w:color="FFFFFF" w:themeColor="background1"/>
              <w:right w:val="single" w:sz="4" w:space="0" w:color="FFFFFF" w:themeColor="background1"/>
            </w:tcBorders>
            <w:hideMark/>
          </w:tcPr>
          <w:p w14:paraId="22B82074"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127 (66,8)</w:t>
            </w:r>
          </w:p>
        </w:tc>
        <w:tc>
          <w:tcPr>
            <w:tcW w:w="2126" w:type="dxa"/>
            <w:tcBorders>
              <w:left w:val="single" w:sz="4" w:space="0" w:color="FFFFFF" w:themeColor="background1"/>
              <w:right w:val="single" w:sz="4" w:space="0" w:color="FFFFFF" w:themeColor="background1"/>
            </w:tcBorders>
            <w:hideMark/>
          </w:tcPr>
          <w:p w14:paraId="0CC1D517"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58 (30,5)</w:t>
            </w:r>
          </w:p>
        </w:tc>
      </w:tr>
      <w:tr w:rsidR="00BF3499" w:rsidRPr="00BF3499" w14:paraId="3DE621B9" w14:textId="77777777" w:rsidTr="00033F42">
        <w:tc>
          <w:tcPr>
            <w:tcW w:w="2547" w:type="dxa"/>
            <w:tcBorders>
              <w:left w:val="single" w:sz="4" w:space="0" w:color="FFFFFF" w:themeColor="background1"/>
              <w:right w:val="single" w:sz="4" w:space="0" w:color="FFFFFF" w:themeColor="background1"/>
            </w:tcBorders>
            <w:hideMark/>
          </w:tcPr>
          <w:p w14:paraId="5F698601"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Plan de comunicación</w:t>
            </w:r>
          </w:p>
        </w:tc>
        <w:tc>
          <w:tcPr>
            <w:tcW w:w="1843" w:type="dxa"/>
            <w:tcBorders>
              <w:left w:val="single" w:sz="4" w:space="0" w:color="FFFFFF" w:themeColor="background1"/>
              <w:right w:val="single" w:sz="4" w:space="0" w:color="FFFFFF" w:themeColor="background1"/>
            </w:tcBorders>
            <w:hideMark/>
          </w:tcPr>
          <w:p w14:paraId="6E46CCD9"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40 (21,1)</w:t>
            </w:r>
          </w:p>
        </w:tc>
        <w:tc>
          <w:tcPr>
            <w:tcW w:w="1984" w:type="dxa"/>
            <w:tcBorders>
              <w:left w:val="single" w:sz="4" w:space="0" w:color="FFFFFF" w:themeColor="background1"/>
              <w:right w:val="single" w:sz="4" w:space="0" w:color="FFFFFF" w:themeColor="background1"/>
            </w:tcBorders>
            <w:hideMark/>
          </w:tcPr>
          <w:p w14:paraId="2D2D94AC"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109 (57,4)</w:t>
            </w:r>
          </w:p>
        </w:tc>
        <w:tc>
          <w:tcPr>
            <w:tcW w:w="2126" w:type="dxa"/>
            <w:tcBorders>
              <w:left w:val="single" w:sz="4" w:space="0" w:color="FFFFFF" w:themeColor="background1"/>
              <w:right w:val="single" w:sz="4" w:space="0" w:color="FFFFFF" w:themeColor="background1"/>
            </w:tcBorders>
            <w:hideMark/>
          </w:tcPr>
          <w:p w14:paraId="48AD5D6E"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41 (21,6)</w:t>
            </w:r>
          </w:p>
        </w:tc>
      </w:tr>
      <w:tr w:rsidR="00BF3499" w:rsidRPr="00BF3499" w14:paraId="2DEF3624" w14:textId="77777777" w:rsidTr="00033F42">
        <w:tc>
          <w:tcPr>
            <w:tcW w:w="2547" w:type="dxa"/>
            <w:tcBorders>
              <w:left w:val="single" w:sz="4" w:space="0" w:color="FFFFFF" w:themeColor="background1"/>
              <w:right w:val="single" w:sz="4" w:space="0" w:color="FFFFFF" w:themeColor="background1"/>
            </w:tcBorders>
            <w:hideMark/>
          </w:tcPr>
          <w:p w14:paraId="40A88B1A"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Modelo operativo</w:t>
            </w:r>
          </w:p>
        </w:tc>
        <w:tc>
          <w:tcPr>
            <w:tcW w:w="1843" w:type="dxa"/>
            <w:tcBorders>
              <w:left w:val="single" w:sz="4" w:space="0" w:color="FFFFFF" w:themeColor="background1"/>
              <w:right w:val="single" w:sz="4" w:space="0" w:color="FFFFFF" w:themeColor="background1"/>
            </w:tcBorders>
            <w:hideMark/>
          </w:tcPr>
          <w:p w14:paraId="1CED3692"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13 (6,8)</w:t>
            </w:r>
          </w:p>
        </w:tc>
        <w:tc>
          <w:tcPr>
            <w:tcW w:w="1984" w:type="dxa"/>
            <w:tcBorders>
              <w:left w:val="single" w:sz="4" w:space="0" w:color="FFFFFF" w:themeColor="background1"/>
              <w:right w:val="single" w:sz="4" w:space="0" w:color="FFFFFF" w:themeColor="background1"/>
            </w:tcBorders>
            <w:hideMark/>
          </w:tcPr>
          <w:p w14:paraId="53533583"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67 (35,3)</w:t>
            </w:r>
          </w:p>
        </w:tc>
        <w:tc>
          <w:tcPr>
            <w:tcW w:w="2126" w:type="dxa"/>
            <w:tcBorders>
              <w:left w:val="single" w:sz="4" w:space="0" w:color="FFFFFF" w:themeColor="background1"/>
              <w:right w:val="single" w:sz="4" w:space="0" w:color="FFFFFF" w:themeColor="background1"/>
            </w:tcBorders>
            <w:hideMark/>
          </w:tcPr>
          <w:p w14:paraId="3A38BE74" w14:textId="77777777" w:rsidR="00BF3499" w:rsidRPr="00BF3499" w:rsidRDefault="00BF3499" w:rsidP="00033F42">
            <w:pPr>
              <w:pStyle w:val="Compact"/>
              <w:spacing w:before="0" w:after="0"/>
              <w:jc w:val="center"/>
              <w:rPr>
                <w:rFonts w:ascii="Book Antiqua" w:hAnsi="Book Antiqua"/>
                <w:sz w:val="20"/>
                <w:szCs w:val="20"/>
              </w:rPr>
            </w:pPr>
            <w:r w:rsidRPr="00BF3499">
              <w:rPr>
                <w:rFonts w:ascii="Book Antiqua" w:hAnsi="Book Antiqua"/>
                <w:sz w:val="20"/>
                <w:szCs w:val="20"/>
              </w:rPr>
              <w:t>110 (57,9)</w:t>
            </w:r>
          </w:p>
        </w:tc>
      </w:tr>
    </w:tbl>
    <w:p w14:paraId="4CFCE04A" w14:textId="77777777" w:rsidR="00BF3499" w:rsidRPr="008F58F3" w:rsidRDefault="00BF3499" w:rsidP="008F58F3">
      <w:pPr>
        <w:spacing w:before="240" w:after="120" w:line="240" w:lineRule="auto"/>
        <w:rPr>
          <w:rFonts w:ascii="Book Antiqua" w:hAnsi="Book Antiqua"/>
          <w:sz w:val="20"/>
          <w:szCs w:val="20"/>
        </w:rPr>
      </w:pPr>
      <w:r w:rsidRPr="008F58F3">
        <w:rPr>
          <w:rFonts w:ascii="Book Antiqua" w:hAnsi="Book Antiqua"/>
          <w:sz w:val="20"/>
          <w:szCs w:val="20"/>
        </w:rPr>
        <w:lastRenderedPageBreak/>
        <w:t>El análisis inferencial mostró que el modelo que incorporó la inteligencia emocional presentó un ajuste significativamente mejor que el modelo con solo intercepto. El valor de −2 log-verosimilitud disminuyó de 1000,403 a 719,308, con una diferencia estadísticamente significativa (</w:t>
      </w:r>
      <w:r w:rsidRPr="00BF3499">
        <w:rPr>
          <w:rFonts w:ascii="Book Antiqua" w:hAnsi="Book Antiqua"/>
          <w:sz w:val="20"/>
          <w:szCs w:val="20"/>
        </w:rPr>
        <w:t>χ</w:t>
      </w:r>
      <w:r w:rsidRPr="008F58F3">
        <w:rPr>
          <w:rFonts w:ascii="Book Antiqua" w:hAnsi="Book Antiqua"/>
          <w:sz w:val="20"/>
          <w:szCs w:val="20"/>
        </w:rPr>
        <w:t>² = 281,096; gl = 57; p &lt; 0,001). Los indicadores de pseudo-R² fueron 0,772 para Cox-Snell, 0,773 para Nagelkerke y 0,195 para McFadden, evidenciando una contribución estadística de la inteligencia emocional al ajuste del modelo de comunicación interna (Tabla 3).</w:t>
      </w:r>
    </w:p>
    <w:p w14:paraId="1C354F3A" w14:textId="77777777" w:rsidR="00BF3499" w:rsidRPr="008F58F3" w:rsidRDefault="00BF3499" w:rsidP="008F58F3">
      <w:pPr>
        <w:spacing w:after="240" w:line="240" w:lineRule="auto"/>
        <w:rPr>
          <w:rFonts w:ascii="Book Antiqua" w:hAnsi="Book Antiqua"/>
          <w:sz w:val="20"/>
          <w:szCs w:val="20"/>
        </w:rPr>
      </w:pPr>
      <w:r w:rsidRPr="008F58F3">
        <w:rPr>
          <w:rFonts w:ascii="Book Antiqua" w:hAnsi="Book Antiqua"/>
          <w:sz w:val="20"/>
          <w:szCs w:val="20"/>
        </w:rPr>
        <w:t xml:space="preserve">Los modelos correspondientes a las cinco dimensiones de la inteligencia emocional también presentaron mejoras estadísticamente significativas respecto de sus respectivos modelos con solo intercepto (p &lt; 0,001 en todos los casos). El modelo intrapersonal registró </w:t>
      </w:r>
      <w:r w:rsidRPr="00BF3499">
        <w:rPr>
          <w:rFonts w:ascii="Book Antiqua" w:hAnsi="Book Antiqua"/>
          <w:sz w:val="20"/>
          <w:szCs w:val="20"/>
        </w:rPr>
        <w:t>χ</w:t>
      </w:r>
      <w:r w:rsidRPr="008F58F3">
        <w:rPr>
          <w:rFonts w:ascii="Book Antiqua" w:hAnsi="Book Antiqua"/>
          <w:sz w:val="20"/>
          <w:szCs w:val="20"/>
        </w:rPr>
        <w:t xml:space="preserve">² = 290,340 (gl = 27), con pseudo-R² de Cox-Snell = 0,783, Nagelkerke = 0,785 y McFadden = 0,259. Para la dimensión interpersonal se obtuvo </w:t>
      </w:r>
      <w:r w:rsidRPr="00BF3499">
        <w:rPr>
          <w:rFonts w:ascii="Book Antiqua" w:hAnsi="Book Antiqua"/>
          <w:sz w:val="20"/>
          <w:szCs w:val="20"/>
        </w:rPr>
        <w:t>χ</w:t>
      </w:r>
      <w:r w:rsidRPr="008F58F3">
        <w:rPr>
          <w:rFonts w:ascii="Book Antiqua" w:hAnsi="Book Antiqua"/>
          <w:sz w:val="20"/>
          <w:szCs w:val="20"/>
        </w:rPr>
        <w:t xml:space="preserve">² = 213,850 (gl = 22), con valores de 0,676, 0,678 y 0,200, respectivamente. En adaptabilidad, el contraste alcanzó </w:t>
      </w:r>
      <w:r w:rsidRPr="00BF3499">
        <w:rPr>
          <w:rFonts w:ascii="Book Antiqua" w:hAnsi="Book Antiqua"/>
          <w:sz w:val="20"/>
          <w:szCs w:val="20"/>
        </w:rPr>
        <w:t>χ</w:t>
      </w:r>
      <w:r w:rsidRPr="008F58F3">
        <w:rPr>
          <w:rFonts w:ascii="Book Antiqua" w:hAnsi="Book Antiqua"/>
          <w:sz w:val="20"/>
          <w:szCs w:val="20"/>
        </w:rPr>
        <w:t xml:space="preserve">² = 127,631 (gl = 15), con pseudo-R² de 0,489, 0,492 y 0,130; mientras que para manejo del estrés se obtuvo </w:t>
      </w:r>
      <w:r w:rsidRPr="00BF3499">
        <w:rPr>
          <w:rFonts w:ascii="Book Antiqua" w:hAnsi="Book Antiqua"/>
          <w:sz w:val="20"/>
          <w:szCs w:val="20"/>
        </w:rPr>
        <w:t>χ</w:t>
      </w:r>
      <w:r w:rsidRPr="008F58F3">
        <w:rPr>
          <w:rFonts w:ascii="Book Antiqua" w:hAnsi="Book Antiqua"/>
          <w:sz w:val="20"/>
          <w:szCs w:val="20"/>
        </w:rPr>
        <w:t xml:space="preserve">² = 68,799 (gl = 14), con valores de 0,304, 0,307 y 0,077. Finalmente, el modelo correspondiente al estado de ánimo presentó </w:t>
      </w:r>
      <w:r w:rsidRPr="00BF3499">
        <w:rPr>
          <w:rFonts w:ascii="Book Antiqua" w:hAnsi="Book Antiqua"/>
          <w:sz w:val="20"/>
          <w:szCs w:val="20"/>
        </w:rPr>
        <w:t>χ</w:t>
      </w:r>
      <w:r w:rsidRPr="008F58F3">
        <w:rPr>
          <w:rFonts w:ascii="Book Antiqua" w:hAnsi="Book Antiqua"/>
          <w:sz w:val="20"/>
          <w:szCs w:val="20"/>
        </w:rPr>
        <w:t>² = 81,129 (gl = 21), con pseudo-R² de Cox-Snell = 0,348, Nagelkerke = 0,349 y McFadden = 0,078 (Tabla 3).</w:t>
      </w:r>
    </w:p>
    <w:p w14:paraId="442D1D77" w14:textId="77777777" w:rsidR="00BF3499" w:rsidRPr="00BF3499" w:rsidRDefault="00BF3499" w:rsidP="008F58F3">
      <w:pPr>
        <w:pStyle w:val="Textoindependiente"/>
        <w:ind w:firstLine="0"/>
        <w:rPr>
          <w:rFonts w:ascii="Book Antiqua" w:hAnsi="Book Antiqua"/>
          <w:lang w:val="es-ES"/>
        </w:rPr>
      </w:pPr>
      <w:r w:rsidRPr="00BF3499">
        <w:rPr>
          <w:rFonts w:ascii="Book Antiqua" w:hAnsi="Book Antiqua"/>
          <w:b/>
          <w:bCs/>
          <w:lang w:val="es-ES"/>
        </w:rPr>
        <w:t xml:space="preserve">Tabla 3. </w:t>
      </w:r>
      <w:r w:rsidRPr="00033F42">
        <w:rPr>
          <w:rFonts w:ascii="Book Antiqua" w:hAnsi="Book Antiqua"/>
          <w:lang w:val="es-ES"/>
        </w:rPr>
        <w:t>Ajuste de los modelos de inteligencia emocional y sus dimensiones respecto de la comunicación interna</w:t>
      </w:r>
    </w:p>
    <w:tbl>
      <w:tblPr>
        <w:tblStyle w:val="Table"/>
        <w:tblW w:w="5004"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4"/>
        <w:gridCol w:w="1134"/>
        <w:gridCol w:w="850"/>
        <w:gridCol w:w="851"/>
        <w:gridCol w:w="425"/>
        <w:gridCol w:w="851"/>
        <w:gridCol w:w="992"/>
        <w:gridCol w:w="1275"/>
        <w:gridCol w:w="709"/>
      </w:tblGrid>
      <w:tr w:rsidR="00BC3505" w:rsidRPr="00BF3499" w14:paraId="46D55F1A" w14:textId="77777777" w:rsidTr="00033F42">
        <w:trPr>
          <w:cnfStyle w:val="100000000000" w:firstRow="1" w:lastRow="0" w:firstColumn="0" w:lastColumn="0" w:oddVBand="0" w:evenVBand="0" w:oddHBand="0" w:evenHBand="0" w:firstRowFirstColumn="0" w:firstRowLastColumn="0" w:lastRowFirstColumn="0" w:lastRowLastColumn="0"/>
        </w:trPr>
        <w:tc>
          <w:tcPr>
            <w:tcW w:w="1414" w:type="dxa"/>
            <w:tcBorders>
              <w:left w:val="single" w:sz="4" w:space="0" w:color="FFFFFF" w:themeColor="background1"/>
              <w:right w:val="single" w:sz="4" w:space="0" w:color="FFFFFF" w:themeColor="background1"/>
            </w:tcBorders>
            <w:vAlign w:val="center"/>
            <w:hideMark/>
          </w:tcPr>
          <w:p w14:paraId="11D03D51"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Variable explicativa</w:t>
            </w:r>
          </w:p>
        </w:tc>
        <w:tc>
          <w:tcPr>
            <w:tcW w:w="1134" w:type="dxa"/>
            <w:tcBorders>
              <w:left w:val="single" w:sz="4" w:space="0" w:color="FFFFFF" w:themeColor="background1"/>
              <w:right w:val="single" w:sz="4" w:space="0" w:color="FFFFFF" w:themeColor="background1"/>
            </w:tcBorders>
            <w:vAlign w:val="center"/>
            <w:hideMark/>
          </w:tcPr>
          <w:p w14:paraId="7CCD1328"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−2LL intercepto</w:t>
            </w:r>
          </w:p>
        </w:tc>
        <w:tc>
          <w:tcPr>
            <w:tcW w:w="850" w:type="dxa"/>
            <w:tcBorders>
              <w:left w:val="single" w:sz="4" w:space="0" w:color="FFFFFF" w:themeColor="background1"/>
              <w:right w:val="single" w:sz="4" w:space="0" w:color="FFFFFF" w:themeColor="background1"/>
            </w:tcBorders>
            <w:vAlign w:val="center"/>
            <w:hideMark/>
          </w:tcPr>
          <w:p w14:paraId="6264D15A"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−2LL final</w:t>
            </w:r>
          </w:p>
        </w:tc>
        <w:tc>
          <w:tcPr>
            <w:tcW w:w="851" w:type="dxa"/>
            <w:tcBorders>
              <w:left w:val="single" w:sz="4" w:space="0" w:color="FFFFFF" w:themeColor="background1"/>
              <w:right w:val="single" w:sz="4" w:space="0" w:color="FFFFFF" w:themeColor="background1"/>
            </w:tcBorders>
            <w:vAlign w:val="center"/>
            <w:hideMark/>
          </w:tcPr>
          <w:p w14:paraId="50C05238"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χ²</w:t>
            </w:r>
          </w:p>
        </w:tc>
        <w:tc>
          <w:tcPr>
            <w:tcW w:w="425" w:type="dxa"/>
            <w:tcBorders>
              <w:left w:val="single" w:sz="4" w:space="0" w:color="FFFFFF" w:themeColor="background1"/>
              <w:right w:val="single" w:sz="4" w:space="0" w:color="FFFFFF" w:themeColor="background1"/>
            </w:tcBorders>
            <w:vAlign w:val="center"/>
            <w:hideMark/>
          </w:tcPr>
          <w:p w14:paraId="7D1F1717"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gl</w:t>
            </w:r>
          </w:p>
        </w:tc>
        <w:tc>
          <w:tcPr>
            <w:tcW w:w="851" w:type="dxa"/>
            <w:tcBorders>
              <w:left w:val="single" w:sz="4" w:space="0" w:color="FFFFFF" w:themeColor="background1"/>
              <w:right w:val="single" w:sz="4" w:space="0" w:color="FFFFFF" w:themeColor="background1"/>
            </w:tcBorders>
            <w:vAlign w:val="center"/>
            <w:hideMark/>
          </w:tcPr>
          <w:p w14:paraId="2CC5CB03"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p</w:t>
            </w:r>
          </w:p>
        </w:tc>
        <w:tc>
          <w:tcPr>
            <w:tcW w:w="992" w:type="dxa"/>
            <w:tcBorders>
              <w:left w:val="single" w:sz="4" w:space="0" w:color="FFFFFF" w:themeColor="background1"/>
              <w:right w:val="single" w:sz="4" w:space="0" w:color="FFFFFF" w:themeColor="background1"/>
            </w:tcBorders>
            <w:vAlign w:val="center"/>
            <w:hideMark/>
          </w:tcPr>
          <w:p w14:paraId="3B09FD18"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Cox-Snell</w:t>
            </w:r>
          </w:p>
        </w:tc>
        <w:tc>
          <w:tcPr>
            <w:tcW w:w="1275" w:type="dxa"/>
            <w:tcBorders>
              <w:left w:val="single" w:sz="4" w:space="0" w:color="FFFFFF" w:themeColor="background1"/>
              <w:right w:val="single" w:sz="4" w:space="0" w:color="FFFFFF" w:themeColor="background1"/>
            </w:tcBorders>
            <w:vAlign w:val="center"/>
            <w:hideMark/>
          </w:tcPr>
          <w:p w14:paraId="093F54BE"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Nagelkerke</w:t>
            </w:r>
          </w:p>
        </w:tc>
        <w:tc>
          <w:tcPr>
            <w:tcW w:w="709" w:type="dxa"/>
            <w:tcBorders>
              <w:left w:val="single" w:sz="4" w:space="0" w:color="FFFFFF" w:themeColor="background1"/>
              <w:right w:val="single" w:sz="4" w:space="0" w:color="FFFFFF" w:themeColor="background1"/>
            </w:tcBorders>
            <w:vAlign w:val="center"/>
            <w:hideMark/>
          </w:tcPr>
          <w:p w14:paraId="5DA2BA63" w14:textId="77777777" w:rsidR="00BF3499" w:rsidRPr="00033F42" w:rsidRDefault="00BF3499" w:rsidP="00033F42">
            <w:pPr>
              <w:pStyle w:val="Compact"/>
              <w:spacing w:before="0" w:after="0"/>
              <w:jc w:val="center"/>
              <w:rPr>
                <w:rFonts w:ascii="Book Antiqua" w:hAnsi="Book Antiqua"/>
                <w:b/>
                <w:bCs/>
                <w:sz w:val="18"/>
                <w:szCs w:val="18"/>
              </w:rPr>
            </w:pPr>
            <w:r w:rsidRPr="00033F42">
              <w:rPr>
                <w:rFonts w:ascii="Book Antiqua" w:hAnsi="Book Antiqua"/>
                <w:b/>
                <w:bCs/>
                <w:sz w:val="18"/>
                <w:szCs w:val="18"/>
              </w:rPr>
              <w:t>McFadden</w:t>
            </w:r>
          </w:p>
        </w:tc>
      </w:tr>
      <w:tr w:rsidR="00BC3505" w:rsidRPr="00BF3499" w14:paraId="01C0E6CE" w14:textId="77777777" w:rsidTr="00033F42">
        <w:tc>
          <w:tcPr>
            <w:tcW w:w="1414" w:type="dxa"/>
            <w:tcBorders>
              <w:left w:val="single" w:sz="4" w:space="0" w:color="FFFFFF" w:themeColor="background1"/>
              <w:right w:val="single" w:sz="4" w:space="0" w:color="FFFFFF" w:themeColor="background1"/>
            </w:tcBorders>
            <w:vAlign w:val="center"/>
            <w:hideMark/>
          </w:tcPr>
          <w:p w14:paraId="02AE3AF2"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Inteligencia emocional</w:t>
            </w:r>
          </w:p>
        </w:tc>
        <w:tc>
          <w:tcPr>
            <w:tcW w:w="1134" w:type="dxa"/>
            <w:tcBorders>
              <w:left w:val="single" w:sz="4" w:space="0" w:color="FFFFFF" w:themeColor="background1"/>
              <w:right w:val="single" w:sz="4" w:space="0" w:color="FFFFFF" w:themeColor="background1"/>
            </w:tcBorders>
            <w:vAlign w:val="center"/>
            <w:hideMark/>
          </w:tcPr>
          <w:p w14:paraId="711808DD"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1000,403</w:t>
            </w:r>
          </w:p>
        </w:tc>
        <w:tc>
          <w:tcPr>
            <w:tcW w:w="850" w:type="dxa"/>
            <w:tcBorders>
              <w:left w:val="single" w:sz="4" w:space="0" w:color="FFFFFF" w:themeColor="background1"/>
              <w:right w:val="single" w:sz="4" w:space="0" w:color="FFFFFF" w:themeColor="background1"/>
            </w:tcBorders>
            <w:vAlign w:val="center"/>
            <w:hideMark/>
          </w:tcPr>
          <w:p w14:paraId="4218F3E8"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719,308</w:t>
            </w:r>
          </w:p>
        </w:tc>
        <w:tc>
          <w:tcPr>
            <w:tcW w:w="851" w:type="dxa"/>
            <w:tcBorders>
              <w:left w:val="single" w:sz="4" w:space="0" w:color="FFFFFF" w:themeColor="background1"/>
              <w:right w:val="single" w:sz="4" w:space="0" w:color="FFFFFF" w:themeColor="background1"/>
            </w:tcBorders>
            <w:vAlign w:val="center"/>
            <w:hideMark/>
          </w:tcPr>
          <w:p w14:paraId="5251F228"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281,096</w:t>
            </w:r>
          </w:p>
        </w:tc>
        <w:tc>
          <w:tcPr>
            <w:tcW w:w="425" w:type="dxa"/>
            <w:tcBorders>
              <w:left w:val="single" w:sz="4" w:space="0" w:color="FFFFFF" w:themeColor="background1"/>
              <w:right w:val="single" w:sz="4" w:space="0" w:color="FFFFFF" w:themeColor="background1"/>
            </w:tcBorders>
            <w:vAlign w:val="center"/>
            <w:hideMark/>
          </w:tcPr>
          <w:p w14:paraId="2CC3D16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57</w:t>
            </w:r>
          </w:p>
        </w:tc>
        <w:tc>
          <w:tcPr>
            <w:tcW w:w="851" w:type="dxa"/>
            <w:tcBorders>
              <w:left w:val="single" w:sz="4" w:space="0" w:color="FFFFFF" w:themeColor="background1"/>
              <w:right w:val="single" w:sz="4" w:space="0" w:color="FFFFFF" w:themeColor="background1"/>
            </w:tcBorders>
            <w:vAlign w:val="center"/>
            <w:hideMark/>
          </w:tcPr>
          <w:p w14:paraId="6F464E30"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&lt;0,001</w:t>
            </w:r>
          </w:p>
        </w:tc>
        <w:tc>
          <w:tcPr>
            <w:tcW w:w="992" w:type="dxa"/>
            <w:tcBorders>
              <w:left w:val="single" w:sz="4" w:space="0" w:color="FFFFFF" w:themeColor="background1"/>
              <w:right w:val="single" w:sz="4" w:space="0" w:color="FFFFFF" w:themeColor="background1"/>
            </w:tcBorders>
            <w:vAlign w:val="center"/>
            <w:hideMark/>
          </w:tcPr>
          <w:p w14:paraId="7732707C"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0,772</w:t>
            </w:r>
          </w:p>
        </w:tc>
        <w:tc>
          <w:tcPr>
            <w:tcW w:w="1275" w:type="dxa"/>
            <w:tcBorders>
              <w:left w:val="single" w:sz="4" w:space="0" w:color="FFFFFF" w:themeColor="background1"/>
              <w:right w:val="single" w:sz="4" w:space="0" w:color="FFFFFF" w:themeColor="background1"/>
            </w:tcBorders>
            <w:vAlign w:val="center"/>
            <w:hideMark/>
          </w:tcPr>
          <w:p w14:paraId="6512385C" w14:textId="77777777" w:rsidR="00BF3499" w:rsidRPr="008F58F3" w:rsidRDefault="00BF3499" w:rsidP="00033F42">
            <w:pPr>
              <w:pStyle w:val="Compact"/>
              <w:spacing w:before="0" w:after="0"/>
              <w:ind w:right="-107"/>
              <w:jc w:val="center"/>
              <w:rPr>
                <w:rFonts w:ascii="Book Antiqua" w:hAnsi="Book Antiqua"/>
                <w:sz w:val="18"/>
                <w:szCs w:val="18"/>
              </w:rPr>
            </w:pPr>
            <w:r w:rsidRPr="008F58F3">
              <w:rPr>
                <w:rFonts w:ascii="Book Antiqua" w:hAnsi="Book Antiqua"/>
                <w:sz w:val="18"/>
                <w:szCs w:val="18"/>
              </w:rPr>
              <w:t>0,773</w:t>
            </w:r>
          </w:p>
        </w:tc>
        <w:tc>
          <w:tcPr>
            <w:tcW w:w="709" w:type="dxa"/>
            <w:tcBorders>
              <w:left w:val="single" w:sz="4" w:space="0" w:color="FFFFFF" w:themeColor="background1"/>
              <w:right w:val="single" w:sz="4" w:space="0" w:color="FFFFFF" w:themeColor="background1"/>
            </w:tcBorders>
            <w:vAlign w:val="center"/>
            <w:hideMark/>
          </w:tcPr>
          <w:p w14:paraId="0709103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0,195</w:t>
            </w:r>
          </w:p>
        </w:tc>
      </w:tr>
      <w:tr w:rsidR="00BC3505" w:rsidRPr="00BF3499" w14:paraId="1EC44D35" w14:textId="77777777" w:rsidTr="00033F42">
        <w:tc>
          <w:tcPr>
            <w:tcW w:w="1414" w:type="dxa"/>
            <w:tcBorders>
              <w:left w:val="single" w:sz="4" w:space="0" w:color="FFFFFF" w:themeColor="background1"/>
              <w:right w:val="single" w:sz="4" w:space="0" w:color="FFFFFF" w:themeColor="background1"/>
            </w:tcBorders>
            <w:vAlign w:val="center"/>
            <w:hideMark/>
          </w:tcPr>
          <w:p w14:paraId="60631CDD"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Intrapersonal</w:t>
            </w:r>
          </w:p>
        </w:tc>
        <w:tc>
          <w:tcPr>
            <w:tcW w:w="1134" w:type="dxa"/>
            <w:tcBorders>
              <w:left w:val="single" w:sz="4" w:space="0" w:color="FFFFFF" w:themeColor="background1"/>
              <w:right w:val="single" w:sz="4" w:space="0" w:color="FFFFFF" w:themeColor="background1"/>
            </w:tcBorders>
            <w:vAlign w:val="center"/>
            <w:hideMark/>
          </w:tcPr>
          <w:p w14:paraId="555734A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726,028</w:t>
            </w:r>
          </w:p>
        </w:tc>
        <w:tc>
          <w:tcPr>
            <w:tcW w:w="850" w:type="dxa"/>
            <w:tcBorders>
              <w:left w:val="single" w:sz="4" w:space="0" w:color="FFFFFF" w:themeColor="background1"/>
              <w:right w:val="single" w:sz="4" w:space="0" w:color="FFFFFF" w:themeColor="background1"/>
            </w:tcBorders>
            <w:vAlign w:val="center"/>
            <w:hideMark/>
          </w:tcPr>
          <w:p w14:paraId="0D8D0BB9"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435,688</w:t>
            </w:r>
          </w:p>
        </w:tc>
        <w:tc>
          <w:tcPr>
            <w:tcW w:w="851" w:type="dxa"/>
            <w:tcBorders>
              <w:left w:val="single" w:sz="4" w:space="0" w:color="FFFFFF" w:themeColor="background1"/>
              <w:right w:val="single" w:sz="4" w:space="0" w:color="FFFFFF" w:themeColor="background1"/>
            </w:tcBorders>
            <w:vAlign w:val="center"/>
            <w:hideMark/>
          </w:tcPr>
          <w:p w14:paraId="77076C21"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290,340</w:t>
            </w:r>
          </w:p>
        </w:tc>
        <w:tc>
          <w:tcPr>
            <w:tcW w:w="425" w:type="dxa"/>
            <w:tcBorders>
              <w:left w:val="single" w:sz="4" w:space="0" w:color="FFFFFF" w:themeColor="background1"/>
              <w:right w:val="single" w:sz="4" w:space="0" w:color="FFFFFF" w:themeColor="background1"/>
            </w:tcBorders>
            <w:vAlign w:val="center"/>
            <w:hideMark/>
          </w:tcPr>
          <w:p w14:paraId="72CC2978"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27</w:t>
            </w:r>
          </w:p>
        </w:tc>
        <w:tc>
          <w:tcPr>
            <w:tcW w:w="851" w:type="dxa"/>
            <w:tcBorders>
              <w:left w:val="single" w:sz="4" w:space="0" w:color="FFFFFF" w:themeColor="background1"/>
              <w:right w:val="single" w:sz="4" w:space="0" w:color="FFFFFF" w:themeColor="background1"/>
            </w:tcBorders>
            <w:vAlign w:val="center"/>
            <w:hideMark/>
          </w:tcPr>
          <w:p w14:paraId="1D5FC79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&lt;0,001</w:t>
            </w:r>
          </w:p>
        </w:tc>
        <w:tc>
          <w:tcPr>
            <w:tcW w:w="992" w:type="dxa"/>
            <w:tcBorders>
              <w:left w:val="single" w:sz="4" w:space="0" w:color="FFFFFF" w:themeColor="background1"/>
              <w:right w:val="single" w:sz="4" w:space="0" w:color="FFFFFF" w:themeColor="background1"/>
            </w:tcBorders>
            <w:vAlign w:val="center"/>
            <w:hideMark/>
          </w:tcPr>
          <w:p w14:paraId="7E79EF4E"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0,783</w:t>
            </w:r>
          </w:p>
        </w:tc>
        <w:tc>
          <w:tcPr>
            <w:tcW w:w="1275" w:type="dxa"/>
            <w:tcBorders>
              <w:left w:val="single" w:sz="4" w:space="0" w:color="FFFFFF" w:themeColor="background1"/>
              <w:right w:val="single" w:sz="4" w:space="0" w:color="FFFFFF" w:themeColor="background1"/>
            </w:tcBorders>
            <w:vAlign w:val="center"/>
            <w:hideMark/>
          </w:tcPr>
          <w:p w14:paraId="26DE8DA8"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0,785</w:t>
            </w:r>
          </w:p>
        </w:tc>
        <w:tc>
          <w:tcPr>
            <w:tcW w:w="709" w:type="dxa"/>
            <w:tcBorders>
              <w:left w:val="single" w:sz="4" w:space="0" w:color="FFFFFF" w:themeColor="background1"/>
              <w:right w:val="single" w:sz="4" w:space="0" w:color="FFFFFF" w:themeColor="background1"/>
            </w:tcBorders>
            <w:vAlign w:val="center"/>
            <w:hideMark/>
          </w:tcPr>
          <w:p w14:paraId="42ED257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0,259</w:t>
            </w:r>
          </w:p>
        </w:tc>
      </w:tr>
      <w:tr w:rsidR="00BC3505" w:rsidRPr="00BF3499" w14:paraId="04FDCB9C" w14:textId="77777777" w:rsidTr="00033F42">
        <w:tc>
          <w:tcPr>
            <w:tcW w:w="1414" w:type="dxa"/>
            <w:tcBorders>
              <w:left w:val="single" w:sz="4" w:space="0" w:color="FFFFFF" w:themeColor="background1"/>
              <w:right w:val="single" w:sz="4" w:space="0" w:color="FFFFFF" w:themeColor="background1"/>
            </w:tcBorders>
            <w:vAlign w:val="center"/>
            <w:hideMark/>
          </w:tcPr>
          <w:p w14:paraId="6BD2BC73" w14:textId="375DBE8A"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Interpersonal</w:t>
            </w:r>
          </w:p>
        </w:tc>
        <w:tc>
          <w:tcPr>
            <w:tcW w:w="1134" w:type="dxa"/>
            <w:tcBorders>
              <w:left w:val="single" w:sz="4" w:space="0" w:color="FFFFFF" w:themeColor="background1"/>
              <w:right w:val="single" w:sz="4" w:space="0" w:color="FFFFFF" w:themeColor="background1"/>
            </w:tcBorders>
            <w:vAlign w:val="center"/>
            <w:hideMark/>
          </w:tcPr>
          <w:p w14:paraId="0E946B96"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676,810</w:t>
            </w:r>
          </w:p>
        </w:tc>
        <w:tc>
          <w:tcPr>
            <w:tcW w:w="850" w:type="dxa"/>
            <w:tcBorders>
              <w:left w:val="single" w:sz="4" w:space="0" w:color="FFFFFF" w:themeColor="background1"/>
              <w:right w:val="single" w:sz="4" w:space="0" w:color="FFFFFF" w:themeColor="background1"/>
            </w:tcBorders>
            <w:vAlign w:val="center"/>
            <w:hideMark/>
          </w:tcPr>
          <w:p w14:paraId="6EF00ADE"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462,960</w:t>
            </w:r>
          </w:p>
        </w:tc>
        <w:tc>
          <w:tcPr>
            <w:tcW w:w="851" w:type="dxa"/>
            <w:tcBorders>
              <w:left w:val="single" w:sz="4" w:space="0" w:color="FFFFFF" w:themeColor="background1"/>
              <w:right w:val="single" w:sz="4" w:space="0" w:color="FFFFFF" w:themeColor="background1"/>
            </w:tcBorders>
            <w:vAlign w:val="center"/>
            <w:hideMark/>
          </w:tcPr>
          <w:p w14:paraId="09DDDB64"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213,850</w:t>
            </w:r>
          </w:p>
        </w:tc>
        <w:tc>
          <w:tcPr>
            <w:tcW w:w="425" w:type="dxa"/>
            <w:tcBorders>
              <w:left w:val="single" w:sz="4" w:space="0" w:color="FFFFFF" w:themeColor="background1"/>
              <w:right w:val="single" w:sz="4" w:space="0" w:color="FFFFFF" w:themeColor="background1"/>
            </w:tcBorders>
            <w:vAlign w:val="center"/>
            <w:hideMark/>
          </w:tcPr>
          <w:p w14:paraId="1F363ECE"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22</w:t>
            </w:r>
          </w:p>
        </w:tc>
        <w:tc>
          <w:tcPr>
            <w:tcW w:w="851" w:type="dxa"/>
            <w:tcBorders>
              <w:left w:val="single" w:sz="4" w:space="0" w:color="FFFFFF" w:themeColor="background1"/>
              <w:right w:val="single" w:sz="4" w:space="0" w:color="FFFFFF" w:themeColor="background1"/>
            </w:tcBorders>
            <w:vAlign w:val="center"/>
            <w:hideMark/>
          </w:tcPr>
          <w:p w14:paraId="7F143681"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&lt;0,001</w:t>
            </w:r>
          </w:p>
        </w:tc>
        <w:tc>
          <w:tcPr>
            <w:tcW w:w="992" w:type="dxa"/>
            <w:tcBorders>
              <w:left w:val="single" w:sz="4" w:space="0" w:color="FFFFFF" w:themeColor="background1"/>
              <w:right w:val="single" w:sz="4" w:space="0" w:color="FFFFFF" w:themeColor="background1"/>
            </w:tcBorders>
            <w:vAlign w:val="center"/>
            <w:hideMark/>
          </w:tcPr>
          <w:p w14:paraId="457BF29E"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0,676</w:t>
            </w:r>
          </w:p>
        </w:tc>
        <w:tc>
          <w:tcPr>
            <w:tcW w:w="1275" w:type="dxa"/>
            <w:tcBorders>
              <w:left w:val="single" w:sz="4" w:space="0" w:color="FFFFFF" w:themeColor="background1"/>
              <w:right w:val="single" w:sz="4" w:space="0" w:color="FFFFFF" w:themeColor="background1"/>
            </w:tcBorders>
            <w:vAlign w:val="center"/>
            <w:hideMark/>
          </w:tcPr>
          <w:p w14:paraId="3F1765B3"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0,678</w:t>
            </w:r>
          </w:p>
        </w:tc>
        <w:tc>
          <w:tcPr>
            <w:tcW w:w="709" w:type="dxa"/>
            <w:tcBorders>
              <w:left w:val="single" w:sz="4" w:space="0" w:color="FFFFFF" w:themeColor="background1"/>
              <w:right w:val="single" w:sz="4" w:space="0" w:color="FFFFFF" w:themeColor="background1"/>
            </w:tcBorders>
            <w:vAlign w:val="center"/>
            <w:hideMark/>
          </w:tcPr>
          <w:p w14:paraId="7FA556B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0,200</w:t>
            </w:r>
          </w:p>
        </w:tc>
      </w:tr>
      <w:tr w:rsidR="00BC3505" w:rsidRPr="00BF3499" w14:paraId="4879DDC5" w14:textId="77777777" w:rsidTr="00033F42">
        <w:tc>
          <w:tcPr>
            <w:tcW w:w="1414" w:type="dxa"/>
            <w:tcBorders>
              <w:left w:val="single" w:sz="4" w:space="0" w:color="FFFFFF" w:themeColor="background1"/>
              <w:right w:val="single" w:sz="4" w:space="0" w:color="FFFFFF" w:themeColor="background1"/>
            </w:tcBorders>
            <w:vAlign w:val="center"/>
            <w:hideMark/>
          </w:tcPr>
          <w:p w14:paraId="1778DAA5"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Adaptabilidad</w:t>
            </w:r>
          </w:p>
        </w:tc>
        <w:tc>
          <w:tcPr>
            <w:tcW w:w="1134" w:type="dxa"/>
            <w:tcBorders>
              <w:left w:val="single" w:sz="4" w:space="0" w:color="FFFFFF" w:themeColor="background1"/>
              <w:right w:val="single" w:sz="4" w:space="0" w:color="FFFFFF" w:themeColor="background1"/>
            </w:tcBorders>
            <w:vAlign w:val="center"/>
            <w:hideMark/>
          </w:tcPr>
          <w:p w14:paraId="12689D8C"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589,329</w:t>
            </w:r>
          </w:p>
        </w:tc>
        <w:tc>
          <w:tcPr>
            <w:tcW w:w="850" w:type="dxa"/>
            <w:tcBorders>
              <w:left w:val="single" w:sz="4" w:space="0" w:color="FFFFFF" w:themeColor="background1"/>
              <w:right w:val="single" w:sz="4" w:space="0" w:color="FFFFFF" w:themeColor="background1"/>
            </w:tcBorders>
            <w:vAlign w:val="center"/>
            <w:hideMark/>
          </w:tcPr>
          <w:p w14:paraId="5270C0C6"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461,697</w:t>
            </w:r>
          </w:p>
        </w:tc>
        <w:tc>
          <w:tcPr>
            <w:tcW w:w="851" w:type="dxa"/>
            <w:tcBorders>
              <w:left w:val="single" w:sz="4" w:space="0" w:color="FFFFFF" w:themeColor="background1"/>
              <w:right w:val="single" w:sz="4" w:space="0" w:color="FFFFFF" w:themeColor="background1"/>
            </w:tcBorders>
            <w:vAlign w:val="center"/>
            <w:hideMark/>
          </w:tcPr>
          <w:p w14:paraId="4AA05F9E"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127,631</w:t>
            </w:r>
          </w:p>
        </w:tc>
        <w:tc>
          <w:tcPr>
            <w:tcW w:w="425" w:type="dxa"/>
            <w:tcBorders>
              <w:left w:val="single" w:sz="4" w:space="0" w:color="FFFFFF" w:themeColor="background1"/>
              <w:right w:val="single" w:sz="4" w:space="0" w:color="FFFFFF" w:themeColor="background1"/>
            </w:tcBorders>
            <w:vAlign w:val="center"/>
            <w:hideMark/>
          </w:tcPr>
          <w:p w14:paraId="05811BA0"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15</w:t>
            </w:r>
          </w:p>
        </w:tc>
        <w:tc>
          <w:tcPr>
            <w:tcW w:w="851" w:type="dxa"/>
            <w:tcBorders>
              <w:left w:val="single" w:sz="4" w:space="0" w:color="FFFFFF" w:themeColor="background1"/>
              <w:right w:val="single" w:sz="4" w:space="0" w:color="FFFFFF" w:themeColor="background1"/>
            </w:tcBorders>
            <w:vAlign w:val="center"/>
            <w:hideMark/>
          </w:tcPr>
          <w:p w14:paraId="450D79D4"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&lt;0,001</w:t>
            </w:r>
          </w:p>
        </w:tc>
        <w:tc>
          <w:tcPr>
            <w:tcW w:w="992" w:type="dxa"/>
            <w:tcBorders>
              <w:left w:val="single" w:sz="4" w:space="0" w:color="FFFFFF" w:themeColor="background1"/>
              <w:right w:val="single" w:sz="4" w:space="0" w:color="FFFFFF" w:themeColor="background1"/>
            </w:tcBorders>
            <w:vAlign w:val="center"/>
            <w:hideMark/>
          </w:tcPr>
          <w:p w14:paraId="31079667"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0,489</w:t>
            </w:r>
          </w:p>
        </w:tc>
        <w:tc>
          <w:tcPr>
            <w:tcW w:w="1275" w:type="dxa"/>
            <w:tcBorders>
              <w:left w:val="single" w:sz="4" w:space="0" w:color="FFFFFF" w:themeColor="background1"/>
              <w:right w:val="single" w:sz="4" w:space="0" w:color="FFFFFF" w:themeColor="background1"/>
            </w:tcBorders>
            <w:vAlign w:val="center"/>
            <w:hideMark/>
          </w:tcPr>
          <w:p w14:paraId="0B21C5D6"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0,492</w:t>
            </w:r>
          </w:p>
        </w:tc>
        <w:tc>
          <w:tcPr>
            <w:tcW w:w="709" w:type="dxa"/>
            <w:tcBorders>
              <w:left w:val="single" w:sz="4" w:space="0" w:color="FFFFFF" w:themeColor="background1"/>
              <w:right w:val="single" w:sz="4" w:space="0" w:color="FFFFFF" w:themeColor="background1"/>
            </w:tcBorders>
            <w:vAlign w:val="center"/>
            <w:hideMark/>
          </w:tcPr>
          <w:p w14:paraId="29AF631B"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0,130</w:t>
            </w:r>
          </w:p>
        </w:tc>
      </w:tr>
      <w:tr w:rsidR="00BC3505" w:rsidRPr="00BF3499" w14:paraId="3BA29404" w14:textId="77777777" w:rsidTr="00033F42">
        <w:tc>
          <w:tcPr>
            <w:tcW w:w="1414" w:type="dxa"/>
            <w:tcBorders>
              <w:left w:val="single" w:sz="4" w:space="0" w:color="FFFFFF" w:themeColor="background1"/>
              <w:right w:val="single" w:sz="4" w:space="0" w:color="FFFFFF" w:themeColor="background1"/>
            </w:tcBorders>
            <w:vAlign w:val="center"/>
            <w:hideMark/>
          </w:tcPr>
          <w:p w14:paraId="063DBC0A"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Manejo del estrés</w:t>
            </w:r>
          </w:p>
        </w:tc>
        <w:tc>
          <w:tcPr>
            <w:tcW w:w="1134" w:type="dxa"/>
            <w:tcBorders>
              <w:left w:val="single" w:sz="4" w:space="0" w:color="FFFFFF" w:themeColor="background1"/>
              <w:right w:val="single" w:sz="4" w:space="0" w:color="FFFFFF" w:themeColor="background1"/>
            </w:tcBorders>
            <w:vAlign w:val="center"/>
            <w:hideMark/>
          </w:tcPr>
          <w:p w14:paraId="09638D93"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516,017</w:t>
            </w:r>
          </w:p>
        </w:tc>
        <w:tc>
          <w:tcPr>
            <w:tcW w:w="850" w:type="dxa"/>
            <w:tcBorders>
              <w:left w:val="single" w:sz="4" w:space="0" w:color="FFFFFF" w:themeColor="background1"/>
              <w:right w:val="single" w:sz="4" w:space="0" w:color="FFFFFF" w:themeColor="background1"/>
            </w:tcBorders>
            <w:vAlign w:val="center"/>
            <w:hideMark/>
          </w:tcPr>
          <w:p w14:paraId="4B3AEDE2"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447,219</w:t>
            </w:r>
          </w:p>
        </w:tc>
        <w:tc>
          <w:tcPr>
            <w:tcW w:w="851" w:type="dxa"/>
            <w:tcBorders>
              <w:left w:val="single" w:sz="4" w:space="0" w:color="FFFFFF" w:themeColor="background1"/>
              <w:right w:val="single" w:sz="4" w:space="0" w:color="FFFFFF" w:themeColor="background1"/>
            </w:tcBorders>
            <w:vAlign w:val="center"/>
            <w:hideMark/>
          </w:tcPr>
          <w:p w14:paraId="2EC4DAC2"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68,799</w:t>
            </w:r>
          </w:p>
        </w:tc>
        <w:tc>
          <w:tcPr>
            <w:tcW w:w="425" w:type="dxa"/>
            <w:tcBorders>
              <w:left w:val="single" w:sz="4" w:space="0" w:color="FFFFFF" w:themeColor="background1"/>
              <w:right w:val="single" w:sz="4" w:space="0" w:color="FFFFFF" w:themeColor="background1"/>
            </w:tcBorders>
            <w:vAlign w:val="center"/>
            <w:hideMark/>
          </w:tcPr>
          <w:p w14:paraId="51090E48"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14</w:t>
            </w:r>
          </w:p>
        </w:tc>
        <w:tc>
          <w:tcPr>
            <w:tcW w:w="851" w:type="dxa"/>
            <w:tcBorders>
              <w:left w:val="single" w:sz="4" w:space="0" w:color="FFFFFF" w:themeColor="background1"/>
              <w:right w:val="single" w:sz="4" w:space="0" w:color="FFFFFF" w:themeColor="background1"/>
            </w:tcBorders>
            <w:vAlign w:val="center"/>
            <w:hideMark/>
          </w:tcPr>
          <w:p w14:paraId="6375B6C6"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&lt;0,001</w:t>
            </w:r>
          </w:p>
        </w:tc>
        <w:tc>
          <w:tcPr>
            <w:tcW w:w="992" w:type="dxa"/>
            <w:tcBorders>
              <w:left w:val="single" w:sz="4" w:space="0" w:color="FFFFFF" w:themeColor="background1"/>
              <w:right w:val="single" w:sz="4" w:space="0" w:color="FFFFFF" w:themeColor="background1"/>
            </w:tcBorders>
            <w:vAlign w:val="center"/>
            <w:hideMark/>
          </w:tcPr>
          <w:p w14:paraId="35F1A2DF"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0,304</w:t>
            </w:r>
          </w:p>
        </w:tc>
        <w:tc>
          <w:tcPr>
            <w:tcW w:w="1275" w:type="dxa"/>
            <w:tcBorders>
              <w:left w:val="single" w:sz="4" w:space="0" w:color="FFFFFF" w:themeColor="background1"/>
              <w:right w:val="single" w:sz="4" w:space="0" w:color="FFFFFF" w:themeColor="background1"/>
            </w:tcBorders>
            <w:vAlign w:val="center"/>
            <w:hideMark/>
          </w:tcPr>
          <w:p w14:paraId="12020FCB"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0,307</w:t>
            </w:r>
          </w:p>
        </w:tc>
        <w:tc>
          <w:tcPr>
            <w:tcW w:w="709" w:type="dxa"/>
            <w:tcBorders>
              <w:left w:val="single" w:sz="4" w:space="0" w:color="FFFFFF" w:themeColor="background1"/>
              <w:right w:val="single" w:sz="4" w:space="0" w:color="FFFFFF" w:themeColor="background1"/>
            </w:tcBorders>
            <w:vAlign w:val="center"/>
            <w:hideMark/>
          </w:tcPr>
          <w:p w14:paraId="74249CDC"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0,077</w:t>
            </w:r>
          </w:p>
        </w:tc>
      </w:tr>
      <w:tr w:rsidR="00BC3505" w:rsidRPr="00BF3499" w14:paraId="1B033BA5" w14:textId="77777777" w:rsidTr="00033F42">
        <w:tc>
          <w:tcPr>
            <w:tcW w:w="1414" w:type="dxa"/>
            <w:tcBorders>
              <w:left w:val="single" w:sz="4" w:space="0" w:color="FFFFFF" w:themeColor="background1"/>
              <w:right w:val="single" w:sz="4" w:space="0" w:color="FFFFFF" w:themeColor="background1"/>
            </w:tcBorders>
            <w:vAlign w:val="center"/>
            <w:hideMark/>
          </w:tcPr>
          <w:p w14:paraId="67152D1A"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Estado de ánimo</w:t>
            </w:r>
          </w:p>
        </w:tc>
        <w:tc>
          <w:tcPr>
            <w:tcW w:w="1134" w:type="dxa"/>
            <w:tcBorders>
              <w:left w:val="single" w:sz="4" w:space="0" w:color="FFFFFF" w:themeColor="background1"/>
              <w:right w:val="single" w:sz="4" w:space="0" w:color="FFFFFF" w:themeColor="background1"/>
            </w:tcBorders>
            <w:vAlign w:val="center"/>
            <w:hideMark/>
          </w:tcPr>
          <w:p w14:paraId="32701B82"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626,358</w:t>
            </w:r>
          </w:p>
        </w:tc>
        <w:tc>
          <w:tcPr>
            <w:tcW w:w="850" w:type="dxa"/>
            <w:tcBorders>
              <w:left w:val="single" w:sz="4" w:space="0" w:color="FFFFFF" w:themeColor="background1"/>
              <w:right w:val="single" w:sz="4" w:space="0" w:color="FFFFFF" w:themeColor="background1"/>
            </w:tcBorders>
            <w:vAlign w:val="center"/>
            <w:hideMark/>
          </w:tcPr>
          <w:p w14:paraId="11DC14A2"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545,229</w:t>
            </w:r>
          </w:p>
        </w:tc>
        <w:tc>
          <w:tcPr>
            <w:tcW w:w="851" w:type="dxa"/>
            <w:tcBorders>
              <w:left w:val="single" w:sz="4" w:space="0" w:color="FFFFFF" w:themeColor="background1"/>
              <w:right w:val="single" w:sz="4" w:space="0" w:color="FFFFFF" w:themeColor="background1"/>
            </w:tcBorders>
            <w:vAlign w:val="center"/>
            <w:hideMark/>
          </w:tcPr>
          <w:p w14:paraId="43104C7D"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81,129</w:t>
            </w:r>
          </w:p>
        </w:tc>
        <w:tc>
          <w:tcPr>
            <w:tcW w:w="425" w:type="dxa"/>
            <w:tcBorders>
              <w:left w:val="single" w:sz="4" w:space="0" w:color="FFFFFF" w:themeColor="background1"/>
              <w:right w:val="single" w:sz="4" w:space="0" w:color="FFFFFF" w:themeColor="background1"/>
            </w:tcBorders>
            <w:vAlign w:val="center"/>
            <w:hideMark/>
          </w:tcPr>
          <w:p w14:paraId="635335BE"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21</w:t>
            </w:r>
          </w:p>
        </w:tc>
        <w:tc>
          <w:tcPr>
            <w:tcW w:w="851" w:type="dxa"/>
            <w:tcBorders>
              <w:left w:val="single" w:sz="4" w:space="0" w:color="FFFFFF" w:themeColor="background1"/>
              <w:right w:val="single" w:sz="4" w:space="0" w:color="FFFFFF" w:themeColor="background1"/>
            </w:tcBorders>
            <w:vAlign w:val="center"/>
            <w:hideMark/>
          </w:tcPr>
          <w:p w14:paraId="0A41AE2A"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&lt;0,001</w:t>
            </w:r>
          </w:p>
        </w:tc>
        <w:tc>
          <w:tcPr>
            <w:tcW w:w="992" w:type="dxa"/>
            <w:tcBorders>
              <w:left w:val="single" w:sz="4" w:space="0" w:color="FFFFFF" w:themeColor="background1"/>
              <w:right w:val="single" w:sz="4" w:space="0" w:color="FFFFFF" w:themeColor="background1"/>
            </w:tcBorders>
            <w:vAlign w:val="center"/>
            <w:hideMark/>
          </w:tcPr>
          <w:p w14:paraId="14C34991"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0,348</w:t>
            </w:r>
          </w:p>
        </w:tc>
        <w:tc>
          <w:tcPr>
            <w:tcW w:w="1275" w:type="dxa"/>
            <w:tcBorders>
              <w:left w:val="single" w:sz="4" w:space="0" w:color="FFFFFF" w:themeColor="background1"/>
              <w:right w:val="single" w:sz="4" w:space="0" w:color="FFFFFF" w:themeColor="background1"/>
            </w:tcBorders>
            <w:vAlign w:val="center"/>
            <w:hideMark/>
          </w:tcPr>
          <w:p w14:paraId="22E9FE05"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0,349</w:t>
            </w:r>
          </w:p>
        </w:tc>
        <w:tc>
          <w:tcPr>
            <w:tcW w:w="709" w:type="dxa"/>
            <w:tcBorders>
              <w:left w:val="single" w:sz="4" w:space="0" w:color="FFFFFF" w:themeColor="background1"/>
              <w:right w:val="single" w:sz="4" w:space="0" w:color="FFFFFF" w:themeColor="background1"/>
            </w:tcBorders>
            <w:vAlign w:val="center"/>
            <w:hideMark/>
          </w:tcPr>
          <w:p w14:paraId="05C2BE17" w14:textId="77777777" w:rsidR="00BF3499" w:rsidRPr="008F58F3" w:rsidRDefault="00BF3499" w:rsidP="00033F42">
            <w:pPr>
              <w:pStyle w:val="Compact"/>
              <w:spacing w:before="0" w:after="0"/>
              <w:jc w:val="center"/>
              <w:rPr>
                <w:rFonts w:ascii="Book Antiqua" w:hAnsi="Book Antiqua"/>
                <w:sz w:val="18"/>
                <w:szCs w:val="18"/>
              </w:rPr>
            </w:pPr>
            <w:r w:rsidRPr="008F58F3">
              <w:rPr>
                <w:rFonts w:ascii="Book Antiqua" w:hAnsi="Book Antiqua"/>
                <w:sz w:val="18"/>
                <w:szCs w:val="18"/>
              </w:rPr>
              <w:t>0,078</w:t>
            </w:r>
          </w:p>
        </w:tc>
      </w:tr>
    </w:tbl>
    <w:p w14:paraId="6613E0C3" w14:textId="239A5868" w:rsidR="00BF3499" w:rsidRDefault="00BF3499" w:rsidP="008F58F3">
      <w:pPr>
        <w:pStyle w:val="Textoindependiente"/>
        <w:ind w:firstLine="0"/>
        <w:rPr>
          <w:rFonts w:ascii="Book Antiqua" w:hAnsi="Book Antiqua"/>
          <w:lang w:val="es-ES"/>
        </w:rPr>
      </w:pPr>
      <w:r w:rsidRPr="00BF3499">
        <w:rPr>
          <w:rFonts w:ascii="Book Antiqua" w:hAnsi="Book Antiqua"/>
          <w:i/>
          <w:iCs/>
          <w:lang w:val="es-ES"/>
        </w:rPr>
        <w:t>Nota.</w:t>
      </w:r>
      <w:r w:rsidRPr="00BF3499">
        <w:rPr>
          <w:rFonts w:ascii="Book Antiqua" w:hAnsi="Book Antiqua"/>
          <w:lang w:val="es-ES"/>
        </w:rPr>
        <w:t xml:space="preserve"> −2LL: −2 log-verosimilitud. Los pseudo-R² corresponden a los índices de Cox-Snell, Nagelkerke y McFadden.</w:t>
      </w:r>
    </w:p>
    <w:p w14:paraId="31B8DDFE" w14:textId="6F97A556" w:rsidR="00BF3499" w:rsidRDefault="00BF3499" w:rsidP="008F58F3">
      <w:pPr>
        <w:pStyle w:val="Textoindependiente"/>
        <w:spacing w:before="240"/>
        <w:ind w:firstLine="0"/>
        <w:rPr>
          <w:rFonts w:ascii="Book Antiqua" w:hAnsi="Book Antiqua"/>
          <w:lang w:val="es-ES"/>
        </w:rPr>
      </w:pPr>
      <w:r w:rsidRPr="00BF3499">
        <w:rPr>
          <w:rFonts w:ascii="Book Antiqua" w:hAnsi="Book Antiqua"/>
          <w:lang w:val="es-ES"/>
        </w:rPr>
        <w:t>Considerados de manera descriptiva, los modelos correspondientes a las dimensiones intrapersonal e interpersonal presentaron los mayores valores de pseudo-R² entre los modelos dimensionales evaluados, mientras que manejo del estrés y estado de ánimo registraron los valores más bajos. Todos los modelos mostraron diferencias estadísticamente significativas frente a sus respectivos modelos con solo intercepto. Estos resultados evidencian una asociación estadística entre la inteligencia emocional, sus dimensiones y la comunicación interna, sin que los indicadores de ajuste permitan por sí mismos establecer una relación causal.</w:t>
      </w:r>
    </w:p>
    <w:p w14:paraId="27AEC815" w14:textId="14FF2DA3" w:rsidR="00BC3505" w:rsidRPr="003317CA" w:rsidRDefault="00BC3505" w:rsidP="003C0DBC">
      <w:pPr>
        <w:pStyle w:val="Ttulo2"/>
        <w:numPr>
          <w:ilvl w:val="0"/>
          <w:numId w:val="2"/>
        </w:numPr>
        <w:spacing w:before="360" w:after="120"/>
        <w:rPr>
          <w:rFonts w:ascii="Book Antiqua" w:hAnsi="Book Antiqua"/>
          <w:szCs w:val="24"/>
        </w:rPr>
      </w:pPr>
      <w:r w:rsidRPr="003317CA">
        <w:rPr>
          <w:rFonts w:ascii="Book Antiqua" w:hAnsi="Book Antiqua"/>
          <w:szCs w:val="24"/>
        </w:rPr>
        <w:t>Discusión</w:t>
      </w:r>
    </w:p>
    <w:p w14:paraId="259C1489" w14:textId="1EDE603D"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Los resultados mostraron una asociación estadísticamente significativa entre la inteligencia emocional y la comunicación interna de los trabajadores del establecimiento de salud. El modelo que incorporó la inteligencia emocional presentó un ajuste significativamente superior al modelo con solo intercepto, lo que respalda la existencia de una relación entre ambas variables, aunque el carácter transversal y no experimental del estudio impide interpretarla en términos causales. Este hallazgo es consistente con</w:t>
      </w:r>
      <w:r w:rsidR="00253CA8" w:rsidRPr="00253CA8">
        <w:rPr>
          <w:rFonts w:ascii="Book Antiqua" w:hAnsi="Book Antiqua"/>
          <w:sz w:val="20"/>
          <w:szCs w:val="20"/>
        </w:rPr>
        <w:t xml:space="preserve"> </w:t>
      </w:r>
      <w:r w:rsidR="00253CA8" w:rsidRPr="00BC3505">
        <w:rPr>
          <w:rFonts w:ascii="Book Antiqua" w:hAnsi="Book Antiqua"/>
          <w:sz w:val="20"/>
          <w:szCs w:val="20"/>
        </w:rPr>
        <w:t>Ghrayeb</w:t>
      </w:r>
      <w:r w:rsidR="00253CA8">
        <w:rPr>
          <w:rFonts w:ascii="Book Antiqua" w:hAnsi="Book Antiqua"/>
          <w:sz w:val="20"/>
          <w:szCs w:val="20"/>
        </w:rPr>
        <w:t xml:space="preserve"> </w:t>
      </w:r>
      <w:r w:rsidR="00253CA8" w:rsidRPr="00BC3505">
        <w:rPr>
          <w:rFonts w:ascii="Book Antiqua" w:hAnsi="Book Antiqua"/>
          <w:sz w:val="20"/>
          <w:szCs w:val="20"/>
        </w:rPr>
        <w:t>et a</w:t>
      </w:r>
      <w:r w:rsidR="00253CA8">
        <w:rPr>
          <w:rFonts w:ascii="Book Antiqua" w:hAnsi="Book Antiqua"/>
          <w:sz w:val="20"/>
          <w:szCs w:val="20"/>
        </w:rPr>
        <w:t>l</w:t>
      </w:r>
      <w:r w:rsidRPr="00BC3505">
        <w:rPr>
          <w:rFonts w:ascii="Book Antiqua" w:hAnsi="Book Antiqua"/>
          <w:sz w:val="20"/>
          <w:szCs w:val="20"/>
        </w:rPr>
        <w:t xml:space="preserve">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{"citationItems":[{"id":"ITEM-1","itemData":{"DOI":"10.1186/s12912-025-03679-5","abstract":"Aim: Patients’ outcomes could be improved by using emotional intelligence (EI) in communication. Many of the behavioral skills of nurses are shaped by their EI. This study aims to explore the relationship between the communication skills of nurses working in hospitals and their EI, emphasizing the importance of communication abilities. Method: This cross-sectional study included 350 nurses as a convenience sampling technique working in four government and private hospitals in the southern West Bank of Palestine. The questionnaire consisted of three sections: sociodemographic, EI Goleman’s questionnaire, and communication skills questionnaire. Participants completed a communication skills questionnaire developed by the researcher, along with Goleman’s EI Scale. The validity and reliability of the tools were assessed throughout the study. Data analysis was conducted using descriptive statistics, analysis of variance, and Pearson’s correlation test in SPSS v27. Results: The self-awareness dimension achieved the highest score of 25.50, whereas self-management recorded the lowest at 19.69, resulting in an estimated average EI score of 87.22. In terms of communication instruments, a total possible score ranges from 28 to 140, with higher mean scores indicating high EI. The overall average score for communication skills was 90.23. A significant correlation. For EI, a total possible score ranging from 28 to 140, with higher mean scores indicating high EI. was observed between the total EI score and the overall communication skills score (r = 0.542, p &lt; 0.01), and all four EI dimensions were strongly correlated with the total communication skills score. Conclusion: As EI and its dimensions positively influence nurses’ communication skills, hospital managers can enhance EI by organizing training sessions, promoting communication skills, and establishing a foundation for continuous improvement in hospital services. The in-service training, including monthly meetings and conferences, would benefit nurses by engaging them with EI. Using artificial intelligence could engage nurses in training sessions. Clinical trial number: Not applicable. © The Author(s) 2025.","author":[{"dropping-particle":"","family":"Ghrayeb","given":"F","non-dropping-particle":"","parse-names":false,"suffix":""},{"dropping-particle":"","family":"Zaben","given":"K","non-dropping-particle":"","parse-names":false,"suffix":""},{"dropping-particle":"","family":"Haddad","given":"R H","non-dropping-particle":"","parse-names":false,"suffix":""},{"dropping-particle":"","family":"Ghrayeb","given":"N","non-dropping-particle":"","parse-names":false,"suffix":""},{"dropping-particle":"","family":"Barhoush","given":"M","non-dropping-particle":"","parse-names":false,"suffix":""},{"dropping-particle":"","family":"Zuraikat","given":"N","non-dropping-particle":"","parse-names":false,"suffix":""},{"dropping-particle":"","family":"Abuejheisheh","given":"A J","non-dropping-particle":"","parse-names":false,"suffix":""}],"container-title":"BMC Nursing","id":"ITEM-1","issue":"1","issued":{"date-parts":[["2025"]]},"note":"Export Date: 25 August 2026; Cited By: 6","title":"Exploring the relationship between emotional intelligence and communication skills in nurses: a cross-sectional study","type":"article-journal","volume":"24"},"suppress-author":1,"uris":["http://www.mendeley.com/documents/?uuid=3b81589d-8153-4715-9143-2b00c0c8bdc0"]}],"mendeley":{"formattedCitation":"(2025)","plainTextFormattedCitation":"(2025)","previouslyFormattedCitation":"(2025)"},"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(2025)</w:t>
      </w:r>
      <w:r w:rsidR="00253CA8">
        <w:rPr>
          <w:rFonts w:ascii="Book Antiqua" w:hAnsi="Book Antiqua"/>
          <w:sz w:val="20"/>
          <w:szCs w:val="20"/>
        </w:rPr>
        <w:fldChar w:fldCharType="end"/>
      </w:r>
      <w:r w:rsidRPr="00BC3505">
        <w:rPr>
          <w:rFonts w:ascii="Book Antiqua" w:hAnsi="Book Antiqua"/>
          <w:sz w:val="20"/>
          <w:szCs w:val="20"/>
        </w:rPr>
        <w:t xml:space="preserve">, quienes encontraron en 350 enfermeras una correlación positiva entre inteligencia emocional y habilidades de comunicación (r = 0,542; p &lt; 0,01), incluyendo relaciones con las dimensiones emocionales. De manera complementaria, Kosydar-Bochenek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{"citationItems":[{"id":"ITEM-1","itemData":{"DOI":"10.1186/s12909-025-08222-3","abstract":"Effective communication and emotional intelligence (EI) are essential to ethically grounded, patient-centred care, particularly when delivering bad news (BBN). Despite growing attention in international healthcare education, empirical data from Central and Eastern Europe remain scarce. Methods this cross-sectional study surveyed 929 Polish healthcare professionals (physicians, nurses, paramedics, midwives, and physiotherapists). Standardised instruments included the Health Professionals Communication Skills Scale (HP-CSS), the Emotional Intelligence Questionnaire (INTE), and the Breaking Bad News Attitudes Scale (BBNAS). Data were analysed using descriptive statistics, ANOVA, Pearson’s correlations, and multiple regression. Results nurses, and to a lesser extent physicians, demonstrated stronger communication competencies and higher openness to breaking bad news (BBNAS Openness). Both positive (informative communication, INTE I – using emotions in reasoning) and negative predictors (Respect, INTE II – recognising emotions) were identified. Effect sizes were small (η² ≤ 0.04; adjusted R² = 0.02–0.06), indicating that, although statistically significant, the findings had a limited practical impact. Conclusions the findings underscore the significance of emotional intelligence and practical communication skills in equipping healthcare professionals to manage emotionally demanding interactions effectively. Tailored training integrated into medical education may foster more confident, ethical, and patient-centred BBN practices. However, the modest effect sizes suggest that multiple psychological and organisational factors contribute to readiness. © The Author(s) 2025.","author":[{"dropping-particle":"","family":"Kosydar-Bochenek","given":"J","non-dropping-particle":"","parse-names":false,"suffix":""},{"dropping-particle":"","family":"Kobak","given":"J","non-dropping-particle":"","parse-names":false,"suffix":""},{"dropping-particle":"","family":"Szczupak","given":"M","non-dropping-particle":"","parse-names":false,"suffix":""},{"dropping-particle":"","family":"Będkowski","given":"J H","non-dropping-particle":"","parse-names":false,"suffix":""},{"dropping-particle":"","family":"Krupa-Nurcek","given":"S","non-dropping-particle":"","parse-names":false,"suffix":""}],"container-title":"BMC Medical Education","id":"ITEM-1","issue":"1","issued":{"date-parts":[["2026"]]},"note":"Export Date: 25 August 2026; Cited By: 0","title":"Delivering bad news in clinical practice: the role of communication skills and emotional intelligence among Polish healthcare professionals","type":"article-journal","volume":"26"},"suppress-author":1,"uris":["http://www.mendeley.com/documents/?uuid=76cae0c2-2f59-4662-9f8b-188d45fef309"]}],"mendeley":{"formattedCitation":"(2026)","plainTextFormattedCitation":"(2026)","previouslyFormattedCitation":"(2026)"},"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(2026)</w:t>
      </w:r>
      <w:r w:rsidR="00253CA8">
        <w:rPr>
          <w:rFonts w:ascii="Book Antiqua" w:hAnsi="Book Antiqua"/>
          <w:sz w:val="20"/>
          <w:szCs w:val="20"/>
        </w:rPr>
        <w:fldChar w:fldCharType="end"/>
      </w:r>
      <w:r w:rsidRPr="00BC3505">
        <w:rPr>
          <w:rFonts w:ascii="Book Antiqua" w:hAnsi="Book Antiqua"/>
          <w:sz w:val="20"/>
          <w:szCs w:val="20"/>
        </w:rPr>
        <w:t xml:space="preserve">, en 929 profesionales sanitarios, identificaron componentes de la inteligencia emocional asociados con competencias comunicativas, aunque con tamaños de efecto modestos, lo que evidencia que la comunicación también depende de otros factores psicológicos y organizacionales. Estos antecedentes respaldan el patrón encontrado, pero nuestro estudio </w:t>
      </w:r>
      <w:r w:rsidRPr="00BC3505">
        <w:rPr>
          <w:rFonts w:ascii="Book Antiqua" w:hAnsi="Book Antiqua"/>
          <w:sz w:val="20"/>
          <w:szCs w:val="20"/>
        </w:rPr>
        <w:lastRenderedPageBreak/>
        <w:t>amplía esta perspectiva al analizar la comunicación desde una dimensión interna y organizacional, y no exclusivamente como habilidad comunicativa clínica o interpersonal.</w:t>
      </w:r>
    </w:p>
    <w:p w14:paraId="6FCC805E" w14:textId="3DE8298E"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 xml:space="preserve">Entre los componentes de la inteligencia emocional, la dimensión intrapersonal presentó los mayores valores de pseudo-R² de los modelos dimensionales analizados. Este comportamiento resulta científicamente plausible si se considera que dicha dimensión integra capacidades vinculadas con la comprensión emocional de uno mismo, la asertividad, el autoconcepto y la autorregulación. La literatura disponible señala que la autoconciencia constituye un componente relevante para gestionar adecuadamente las emociones durante las relaciones profesionales. </w:t>
      </w:r>
      <w:r w:rsidRPr="00CF74CE">
        <w:rPr>
          <w:rFonts w:ascii="Book Antiqua" w:hAnsi="Book Antiqua"/>
          <w:sz w:val="20"/>
          <w:szCs w:val="20"/>
          <w:lang w:val="it-IT"/>
        </w:rPr>
        <w:t xml:space="preserve">Musitia et al. </w:t>
      </w:r>
      <w:r w:rsidR="00253CA8">
        <w:rPr>
          <w:rFonts w:ascii="Book Antiqua" w:hAnsi="Book Antiqua"/>
          <w:sz w:val="20"/>
          <w:szCs w:val="20"/>
        </w:rPr>
        <w:fldChar w:fldCharType="begin" w:fldLock="1"/>
      </w:r>
      <w:r w:rsidR="00253CA8" w:rsidRPr="00CF74CE">
        <w:rPr>
          <w:rFonts w:ascii="Book Antiqua" w:hAnsi="Book Antiqua"/>
          <w:sz w:val="20"/>
          <w:szCs w:val="20"/>
          <w:lang w:val="it-IT"/>
        </w:rPr>
        <w:instrText>ADDIN CSL_CITATION {"citationItems":[{"id":"ITEM-1","itemData":{"DOI":"10.12688/wellcomeopenres.18006.1","abstract":"Introduction: Effective communication is essential to delivering compassionate, high-quality nursing care. The intensive, stressful and technical environment of a new-born unit (NBU) in a low-resource setting presents communication-related challenges for nurses, with negative implications for nurse well-being, team relationships and patient care. We adapted a pre-existing communication and emotional competence course with NBU nurse managers working in Kenya, explored its’ value to participants and developed a theory of change to evaluate its’ potential impact. Methods: 18 neonatal nurse managers from 14 county referral hospitals helped adapt and participated in a nine-month participatory training process. Training involved guided ‘on the job’ self-observation and reflection to build self-awareness, and two face-to-face skills-building workshops. The course and potential for future scale up was assessed using written responses from participant nurses (baseline questionnaires, reflective assignments, pre and post workshop questionnaires), workshop observation notes, two group discussions and nine individual in-depth interviews. Results: Participants were extremely positive about the course, with many emphasizing its direct relevance and applicability to their daily work. Increased self-awareness and ability to recognize their own, colleagues’ and patients’ emotional triggers, together with new knowledge and practical skills, reportedly inspired nurses to change; in turn influencing their ability to provide respectful care, improving their confidence and relationships and giving them a stronger sense of professional identity. Conclusion: Providing respectful care is a major challenge in low-resource, high-pressure clinical settings but there are few strategies to address this problem. The participatory training process examined addresses this challenge and has potential for positive impacts for families, individual workers and teams, including worker well-being. We present an initial theory of change to support future evaluations aimed at exploring if and how positive gains can be sustained and spread within the wider system. Copyright: © 2022 Musitia P et al.","author":[{"dropping-particle":"","family":"Musitia","given":"P","non-dropping-particle":"","parse-names":false,"suffix":""},{"dropping-particle":"","family":"Boga","given":"M","non-dropping-particle":"","parse-names":false,"suffix":""},{"dropping-particle":"","family":"Oluoch","given":"D","non-dropping-particle":"","parse-names":false,"suffix":""},{"dropping-particle":"","family":"Haaland","given":"A","non-dropping-particle":"","parse-names":false,"suffix":""},{"dropping-particle":"","family":"Nzinga","given":"J","non-dropping-particle":"","parse-names":false,"suffix":""},{"dropping-particle":"","family":"English","given":"M","non-dropping-particle":"","parse-names":false,"suffix":""},{"dropping-particle":"","family":"Molyneux","given":"S","non-dropping-particle":"","parse-names":false,"suffix":""}],"container-title":"Wellcome Open Research","id":"ITEM-1","issued":{"date-parts":[["2022"]]},"note":"Export Date: 25 August 2026; Cited By: 12","title":"Strengthening respectful communication with patients and colleagues in neonatal units — developing and evaluating a communication and emotional competence training for nurse managers in Kenya","type":"article-journal","volume":"7"},"suppress-author":1,"uris":["http://www.mendeley.com/documents/?uuid=b445c491-e07e-4e21-b33d-8151730d93a9"]}],"mendeley":{"formattedCitation":"(2022)","plainTextFormattedCitation":"(2022)","previouslyFormattedCitation":"(2022)"},"properties":{"noteIndex":0},"schema":"https://github.com/citation-style-language/schema/raw/master/csl-citation.json"}</w:instrText>
      </w:r>
      <w:r w:rsidR="00253CA8">
        <w:rPr>
          <w:rFonts w:ascii="Book Antiqua" w:hAnsi="Book Antiqua"/>
          <w:sz w:val="20"/>
          <w:szCs w:val="20"/>
        </w:rPr>
        <w:fldChar w:fldCharType="separate"/>
      </w:r>
      <w:r w:rsidR="00253CA8" w:rsidRPr="00CF74CE">
        <w:rPr>
          <w:rFonts w:ascii="Book Antiqua" w:hAnsi="Book Antiqua"/>
          <w:noProof/>
          <w:sz w:val="20"/>
          <w:szCs w:val="20"/>
          <w:lang w:val="it-IT"/>
        </w:rPr>
        <w:t>(2022)</w:t>
      </w:r>
      <w:r w:rsidR="00253CA8">
        <w:rPr>
          <w:rFonts w:ascii="Book Antiqua" w:hAnsi="Book Antiqua"/>
          <w:sz w:val="20"/>
          <w:szCs w:val="20"/>
        </w:rPr>
        <w:fldChar w:fldCharType="end"/>
      </w:r>
      <w:r w:rsidRPr="00CF74CE">
        <w:rPr>
          <w:rFonts w:ascii="Book Antiqua" w:hAnsi="Book Antiqua"/>
          <w:sz w:val="20"/>
          <w:szCs w:val="20"/>
          <w:lang w:val="it-IT"/>
        </w:rPr>
        <w:t xml:space="preserve">, por ejemplo, observaron que el fortalecimiento de la autoconciencia y de la capacidad para reconocer desencadenantes emocionales propios y ajenos estuvo acompañado de mejoras percibidas en las relaciones y en la comunicación de enfermeras gestoras. </w:t>
      </w:r>
      <w:r w:rsidRPr="00BC3505">
        <w:rPr>
          <w:rFonts w:ascii="Book Antiqua" w:hAnsi="Book Antiqua"/>
          <w:sz w:val="20"/>
          <w:szCs w:val="20"/>
        </w:rPr>
        <w:t xml:space="preserve">Asimismo, la revisión de Moreira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{"citationItems":[{"id":"ITEM-1","itemData":{"DOI":"10.1016/j.nepr.2026.104776","abstract":"Aim: To map the existing evidence on emotional management strategies used by mental health nurses and explore implications for education, curriculum and clinical practice. Background: Emotional competence is a component of mental health nursing, where nurses are frequently exposed to emotionally complex and demanding interactions. Despite its relevance, evidence remains fragmented regarding how emotional management strategies can inform the education and preparation of mental health nurses. Design: Scoping review. Methods: The review was conducted following the JBI methodology and PRISMA-ScR guidelines. Searches were conducted in MEDLINE, CINAHL and PsycINFO from 2015 to 2024. Studies addressing emotional management strategies among mental health nurses were included. Data were charted and synthesised using thematic analysis. Results: Five studies from Portugal, Canada and the United States met the inclusion criteria. Four key themes were identified: (1) emotional management as a foundational professional competence; (2) education for emotional intelligence through structured training and reflective practice; (3) empathy as central to therapeutic engagement; and (4) self-awareness as a prerequisite for effective emotional regulation. Strategies such as clinical supervision, emotional intelligence training and reflective learning were associated with improved communication, personalised care, increased professional confidence and reduced burnout. Conclusion: Integrating the development of emotional competence into nursing education through structured learning, reflective pedagogies and supervised clinical experiences may enhance resilience, relational competence and preparedness for mental health nursing practice. Implications for Practice: Embedding emotional intelligence, empathy and self-awareness within nursing curricula can strengthen students’ emotional preparedness, promote wellbeing and support sustainable mental health nursing practice across diverse care settings. © 2026 Elsevier Ltd","author":[{"dropping-particle":"","family":"Moreira","given":"M T","non-dropping-particle":"","parse-names":false,"suffix":""},{"dropping-particle":"","family":"Lima","given":"A","non-dropping-particle":"","parse-names":false,"suffix":""},{"dropping-particle":"","family":"Ferreira","given":"S","non-dropping-particle":"","parse-names":false,"suffix":""},{"dropping-particle":"","family":"Fernandes","given":"C","non-dropping-particle":"","parse-names":false,"suffix":""}],"container-title":"Nurse Education in Practice","id":"ITEM-1","issued":{"date-parts":[["2026"]]},"note":"Export Date: 25 August 2026; Cited By: 2","title":"Emotional management, empathy and emotional intelligence in mental health nursing: Educational insights from a scoping review","type":"article-journal","volume":"92"},"suppress-author":1,"uris":["http://www.mendeley.com/documents/?uuid=9eb01bf5-4248-467f-8dd7-1fe93e1bc047"]}],"mendeley":{"formattedCitation":"(2026)","plainTextFormattedCitation":"(2026)","previouslyFormattedCitation":"(2026)"},"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(2026)</w:t>
      </w:r>
      <w:r w:rsidR="00253CA8">
        <w:rPr>
          <w:rFonts w:ascii="Book Antiqua" w:hAnsi="Book Antiqua"/>
          <w:sz w:val="20"/>
          <w:szCs w:val="20"/>
        </w:rPr>
        <w:fldChar w:fldCharType="end"/>
      </w:r>
      <w:r w:rsidRPr="00BC3505">
        <w:rPr>
          <w:rFonts w:ascii="Book Antiqua" w:hAnsi="Book Antiqua"/>
          <w:sz w:val="20"/>
          <w:szCs w:val="20"/>
        </w:rPr>
        <w:t xml:space="preserve"> identificó la autoconciencia como un requisito para una regulación emocional eficaz y relacionó el desarrollo de competencias emocionales con una mejor comunicación profesional. En este sentido, una posible interpretación de nuestros resultados es que la capacidad de identificar y regular las propias respuestas emocionales puede favorecer una participación comunicativa más consciente dentro de la organización; sin embargo, los indicadores obtenidos representan ajuste del modelo y no permiten establecer que la dimensión intrapersonal produzca directamente una mejor comunicación.</w:t>
      </w:r>
    </w:p>
    <w:p w14:paraId="1365839F" w14:textId="432D1622"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 xml:space="preserve">La dimensión interpersonal presentó el segundo conjunto más elevado de pseudo-R², lo que refuerza la relevancia de las competencias orientadas a comprender y relacionarse con otras personas. Sanchis-Giménez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{"citationItems":[{"id":"ITEM-1","itemData":{"DOI":"10.3390/healthcare11081119","abstract":"The communication attitude (ACO) of nurses can significantly influence patient health outcomes. This work aims to evaluate predictor variables of communication attitude (emotional intelligence and social skills) in nurses and nursing students separately by comparing linear and non-linear methodologies. Two samples participated in this study: 312 nursing professionals and 1369 nursing students. In total, 75.60% of the professionals and 83.80% of the students were women. After signing the informed consent form, their emotional intelligence (TMMS-24), social skills (IHS) and ACO (ACO) were assessed. It was found that ACO through linear regression models in professionals was predicted by emotional repair and, in students, by attention and emotional repair, as well as by low exposure to new situations, low social skills in the academic or work area and high empathy. Overall, the comparative qualitative models show how the combination of different skills related to emotional intelligence and social skills lead to high levels of ACO. Conversely, their low levels result in an absence of ACO. Our results highlight the importance of emotional intelligence, especially emotional repair and empathy, as well as the need to consider ways to encourage the learning of these skills in a formal way. © 2023 by the authors.","author":[{"dropping-particle":"","family":"Sanchis-Giménez","given":"L","non-dropping-particle":"","parse-names":false,"suffix":""},{"dropping-particle":"","family":"Lacomba-Trejo","given":"L","non-dropping-particle":"","parse-names":false,"suffix":""},{"dropping-particle":"","family":"Prado-Gascó","given":"V","non-dropping-particle":"","parse-names":false,"suffix":""},{"dropping-particle":"","family":"Giménez-Espert","given":"M D C","non-dropping-particle":"","parse-names":false,"suffix":""}],"container-title":"Healthcare (Switzerland)","id":"ITEM-1","issue":"8","issued":{"date-parts":[["2023"]]},"note":"Export Date: 25 August 2026; Cited By: 29","title":"Attitudes towards Communication in Nursing Students and Nurses: Are Social Skills and Emotional Intelligence Important?","type":"article-journal","volume":"11"},"suppress-author":1,"uris":["http://www.mendeley.com/documents/?uuid=e83a92d1-8bc9-4e04-9919-ac601343def7"]}],"mendeley":{"formattedCitation":"(2023)","plainTextFormattedCitation":"(2023)","previouslyFormattedCitation":"(2023)"},"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(2023)</w:t>
      </w:r>
      <w:r w:rsidR="00253CA8">
        <w:rPr>
          <w:rFonts w:ascii="Book Antiqua" w:hAnsi="Book Antiqua"/>
          <w:sz w:val="20"/>
          <w:szCs w:val="20"/>
        </w:rPr>
        <w:fldChar w:fldCharType="end"/>
      </w:r>
      <w:r w:rsidRPr="00BC3505">
        <w:rPr>
          <w:rFonts w:ascii="Book Antiqua" w:hAnsi="Book Antiqua"/>
          <w:sz w:val="20"/>
          <w:szCs w:val="20"/>
        </w:rPr>
        <w:t xml:space="preserve"> encontraron que componentes relacionados con la reparación emocional y la empatía contribuían a explicar las actitudes hacia la comunicación en profesionales de enfermería, mientras que Ghrayeb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{"citationItems":[{"id":"ITEM-1","itemData":{"DOI":"10.1186/s12912-025-03679-5","abstract":"Aim: Patients’ outcomes could be improved by using emotional intelligence (EI) in communication. Many of the behavioral skills of nurses are shaped by their EI. This study aims to explore the relationship between the communication skills of nurses working in hospitals and their EI, emphasizing the importance of communication abilities. Method: This cross-sectional study included 350 nurses as a convenience sampling technique working in four government and private hospitals in the southern West Bank of Palestine. The questionnaire consisted of three sections: sociodemographic, EI Goleman’s questionnaire, and communication skills questionnaire. Participants completed a communication skills questionnaire developed by the researcher, along with Goleman’s EI Scale. The validity and reliability of the tools were assessed throughout the study. Data analysis was conducted using descriptive statistics, analysis of variance, and Pearson’s correlation test in SPSS v27. Results: The self-awareness dimension achieved the highest score of 25.50, whereas self-management recorded the lowest at 19.69, resulting in an estimated average EI score of 87.22. In terms of communication instruments, a total possible score ranges from 28 to 140, with higher mean scores indicating high EI. The overall average score for communication skills was 90.23. A significant correlation. For EI, a total possible score ranging from 28 to 140, with higher mean scores indicating high EI. was observed between the total EI score and the overall communication skills score (r = 0.542, p &lt; 0.01), and all four EI dimensions were strongly correlated with the total communication skills score. Conclusion: As EI and its dimensions positively influence nurses’ communication skills, hospital managers can enhance EI by organizing training sessions, promoting communication skills, and establishing a foundation for continuous improvement in hospital services. The in-service training, including monthly meetings and conferences, would benefit nurses by engaging them with EI. Using artificial intelligence could engage nurses in training sessions. Clinical trial number: Not applicable. © The Author(s) 2025.","author":[{"dropping-particle":"","family":"Ghrayeb","given":"F","non-dropping-particle":"","parse-names":false,"suffix":""},{"dropping-particle":"","family":"Zaben","given":"K","non-dropping-particle":"","parse-names":false,"suffix":""},{"dropping-particle":"","family":"Haddad","given":"R H","non-dropping-particle":"","parse-names":false,"suffix":""},{"dropping-particle":"","family":"Ghrayeb","given":"N","non-dropping-particle":"","parse-names":false,"suffix":""},{"dropping-particle":"","family":"Barhoush","given":"M","non-dropping-particle":"","parse-names":false,"suffix":""},{"dropping-particle":"","family":"Zuraikat","given":"N","non-dropping-particle":"","parse-names":false,"suffix":""},{"dropping-particle":"","family":"Abuejheisheh","given":"A J","non-dropping-particle":"","parse-names":false,"suffix":""}],"container-title":"BMC Nursing","id":"ITEM-1","issue":"1","issued":{"date-parts":[["2025"]]},"note":"Export Date: 25 August 2026; Cited By: 6","title":"Exploring the relationship between emotional intelligence and communication skills in nurses: a cross-sectional study","type":"article-journal","volume":"24"},"suppress-author":1,"uris":["http://www.mendeley.com/documents/?uuid=3b81589d-8153-4715-9143-2b00c0c8bdc0"]}],"mendeley":{"formattedCitation":"(2025)","plainTextFormattedCitation":"(2025)","previouslyFormattedCitation":"(2025)"},"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(2025)</w:t>
      </w:r>
      <w:r w:rsidR="00253CA8">
        <w:rPr>
          <w:rFonts w:ascii="Book Antiqua" w:hAnsi="Book Antiqua"/>
          <w:sz w:val="20"/>
          <w:szCs w:val="20"/>
        </w:rPr>
        <w:fldChar w:fldCharType="end"/>
      </w:r>
      <w:r w:rsidRPr="00BC3505">
        <w:rPr>
          <w:rFonts w:ascii="Book Antiqua" w:hAnsi="Book Antiqua"/>
          <w:sz w:val="20"/>
          <w:szCs w:val="20"/>
        </w:rPr>
        <w:t xml:space="preserve"> observaron asociaciones entre las diferentes dimensiones de la inteligencia emocional y las habilidades comunicativas de las enfermeras. Esta relación también aparece en estudios donde la comunicación funciona como mecanismo intermedio: Lee y Choi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{"citationItems":[{"id":"ITEM-1","itemData":{"DOI":"10.4040/jkan.23044","abstract":"Purpose: This study aimed to identify the mediating effects of communication skills and pediatric nurse-parent partnership on the relationship between emotional intelligence and job satisfaction among pediatric nurses. Methods: A survey was administered to 205 pediatric nurses working in children’s, general, and tertiary hospitals situated in Chungcheong province and Seoul. Data were collected in August and September 2022. The collected data were analyzed using SPSS Statistics version 26.0 along with the PROCESS macro program. Results: Emotional intelligence had a significant effect, and was a critical factor affecting the job satisfaction of pediatric nurses. Furthermore, communication skills and nurse-parent partnership had a serial double mediating effect. Conclusion: These findings underscore the signifi-cance of conducting job satisfaction improvement programs, including strategies for augmenting emotional intelligence, bolstering communication skills, and fostering nurse-parent partnership. © 2023 Korean Society of Nursing Science.","author":[{"dropping-particle":"","family":"Lee","given":"D G","non-dropping-particle":"","parse-names":false,"suffix":""},{"dropping-particle":"","family":"Choi","given":"M.-Y.","non-dropping-particle":"","parse-names":false,"suffix":""}],"container-title":"Journal of Korean Academy of Nursing","id":"ITEM-1","issue":"5","issued":{"date-parts":[["2023"]]},"note":"Export Date: 25 August 2026; Cited By: 1","page":"514-524","title":"Effects of Emotional Intelligence on Job Satisfaction of Pediatric Nurses: The Mediating Effect of Communication Skills and Pediatric Nurse-Parent Partnership","type":"article-journal","volume":"53"},"suppress-author":1,"uris":["http://www.mendeley.com/documents/?uuid=c3f85228-94a1-4695-be38-93ab7c1664ab"]}],"mendeley":{"formattedCitation":"(2023)","plainTextFormattedCitation":"(2023)","previouslyFormattedCitation":"(2023)"},"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(2023)</w:t>
      </w:r>
      <w:r w:rsidR="00253CA8">
        <w:rPr>
          <w:rFonts w:ascii="Book Antiqua" w:hAnsi="Book Antiqua"/>
          <w:sz w:val="20"/>
          <w:szCs w:val="20"/>
        </w:rPr>
        <w:fldChar w:fldCharType="end"/>
      </w:r>
      <w:r w:rsidRPr="00BC3505">
        <w:rPr>
          <w:rFonts w:ascii="Book Antiqua" w:hAnsi="Book Antiqua"/>
          <w:sz w:val="20"/>
          <w:szCs w:val="20"/>
        </w:rPr>
        <w:t xml:space="preserve"> identificaron un papel mediador de las habilidades comunicativas entre inteligencia emocional y satisfacción laboral en enfermeras pediátricas, y Kang y Kim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{"citationItems":[{"id":"ITEM-1","itemData":{"DOI":"10.11111/jkana.2024.30.1.79","abstract":"Purpose: To identify the mediating effect of the communication competence on the relationship between emotional intelligence and nursing managerial competence among experienced nurses. Methods: A total of 186 nurses with more than 10 years of experience working in six general hospitals participated. Data were collected using a self-reported questionnaire and analyzed using SPSS Statistics ver. 23.0 and SPSS Process Macro for descriptive statistics, independent t-test, one-way analysis of variance (ANOVA), Scheffé test, Pearson’s correlation coefficient, multiple regression analysis, and bootstrapping method. Results: Nursing managerial competence was significantly associated with emotional intelligence (r=.32, p&lt;.001) and communication competence (r=.42, p&lt;.001). Additionally, communication competence had a complete mediating effect on the relationship between emotional intelligence and nursing managerial competence (indirect effect=0.45, boot SE=0.11, 95% boot CI=[0.25, 0.67]). Conclusion: Strategies for enhancing the experienced nurses’ nursing managerial competence should be considered to improve communication competence as well as emotional intelligence and develop nursing managerial competency-related education programs by career stages. In particular, the nursing management competency-related education should focus on improving human resource management and planning competences. 2024 Korean Academy of Nursing Administration.","author":[{"dropping-particle":"","family":"Kang","given":"Y","non-dropping-particle":"","parse-names":false,"suffix":""},{"dropping-particle":"","family":"Kim","given":"J.-H.","non-dropping-particle":"","parse-names":false,"suffix":""}],"container-title":"Journal of Korean Academy of Nursing Administration","id":"ITEM-1","issue":"1","issued":{"date-parts":[["2024"]]},"note":"Export Date: 25 August 2026; Cited By: 4","page":"79-90","title":"Influence of Emotional Intelligence of Experienced Nurses on Nursing Managerial Competence: Focusing on the Mediating Effect of Communication Competence","type":"article-journal","volume":"30"},"suppress-author":1,"uris":["http://www.mendeley.com/documents/?uuid=6c82854c-cdf6-4424-ad44-d61bb6a106f9"]}],"mendeley":{"formattedCitation":"(2024)","plainTextFormattedCitation":"(2024)","previouslyFormattedCitation":"(2024)"},"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(2024)</w:t>
      </w:r>
      <w:r w:rsidR="00253CA8">
        <w:rPr>
          <w:rFonts w:ascii="Book Antiqua" w:hAnsi="Book Antiqua"/>
          <w:sz w:val="20"/>
          <w:szCs w:val="20"/>
        </w:rPr>
        <w:fldChar w:fldCharType="end"/>
      </w:r>
      <w:r w:rsidRPr="00BC3505">
        <w:rPr>
          <w:rFonts w:ascii="Book Antiqua" w:hAnsi="Book Antiqua"/>
          <w:sz w:val="20"/>
          <w:szCs w:val="20"/>
        </w:rPr>
        <w:t xml:space="preserve"> encontraron que la competencia comunicativa mediaba la relación entre inteligencia emocional y competencia gerencial en enfermeras experimentadas. En conjunto, estos antecedentes permiten interpretar que las capacidades de empatía, reconocimiento emocional y manejo de las relaciones pueden constituir mecanismos relevantes para comprender cómo las competencias emocionales se articulan con la comunicación en los equipos sanitarios.</w:t>
      </w:r>
    </w:p>
    <w:p w14:paraId="38772CC6" w14:textId="37AF46D4"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 xml:space="preserve">Por su parte, adaptabilidad, manejo del estrés y estado de ánimo también presentaron modelos estadísticamente significativos, aunque con pseudo-R² inferiores a los observados para las dimensiones intrapersonal e interpersonal. Esto no implica que sean componentes poco importantes, sino que su relación con la comunicación interna podría producirse a través de mecanismos diferentes o más indirectos. Cichoń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{"citationItems":[{"id":"ITEM-1","itemData":{"DOI":"10.1111/nicc.12839","abstract":"Background: Stress is an integral part of daily work for nurses, especially those who work in intensive care units (ICUs). However, chronic stress can affect nurses' mental and physical well-being, increasing their risk of burnout and decreasing the quality of care. A higher emotional intelligence (EI) level may be correlated with greater use of effective coping strategies, leading to a reduction of the adverse effects of stress. Aim: This study aimed to examine the relationship between EI and coping strategies among adult ICU nurses in Poland. Study Design: A cross-sectional survey design was used. Current adult ICU nurses in nine Polish hospitals were invited to participate. The survey instruments used were: the Polish version of the Schutte Self-Report Emotional Intelligence Test, the Inventory to Measure Coping Strategies with Stress (Brief-COPE), and a self-constructed questionnaire. Results: 114/543 (21%) nurses completed the survey. ICU nurses showed an average level of EI (70.2%). The main stress coping strategies were active coping and planning, the rarest being substance use, behavioural disengagement, and denial. For nurses with a higher EI level, the most frequently used strategies included positive reframing (R = 0.43; p &lt;.001), active coping (R = 0.38; p &lt;.001), planning (R = 0.37; p &lt;.001) and religion (R = 0.25; p =.006). Nurses were less likely to utilize strategies of behavioural disengagement (R = –0.32; p =.001) and self-blame (R = –0.40; p &lt;.001). Conclusions: EI may have an impact on coping strategies, as a higher EI level was correlated with the greater use of effective coping strategies in ICU nurses. Relevance to Clinical Practice: Training in coping with stress and increasing EI may have a positive impact on reducing the risk of burnout in nurses and thus improving the quality of care delivered. © 2022 British Association of Critical Care Nurses.","author":[{"dropping-particle":"","family":"Cichoń","given":"J","non-dropping-particle":"","parse-names":false,"suffix":""},{"dropping-particle":"","family":"Płaszewska-Żywko","given":"L","non-dropping-particle":"","parse-names":false,"suffix":""},{"dropping-particle":"","family":"Kózka","given":"M","non-dropping-particle":"","parse-names":false,"suffix":""}],"container-title":"Nursing in Critical Care","id":"ITEM-1","issue":"2","issued":{"date-parts":[["2023"]]},"note":"Export Date: 24 August 2026; Cited By: 29","page":"322-328","title":"Emotional intelligence and coping strategies among intensive care unit nurses","type":"article-journal","volume":"28"},"suppress-author":1,"uris":["http://www.mendeley.com/documents/?uuid=860edd43-fe80-43d0-8efe-56d331c30332"]}],"mendeley":{"formattedCitation":"(2023)","plainTextFormattedCitation":"(2023)","previouslyFormattedCitation":"(2023)"},"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(2023)</w:t>
      </w:r>
      <w:r w:rsidR="00253CA8">
        <w:rPr>
          <w:rFonts w:ascii="Book Antiqua" w:hAnsi="Book Antiqua"/>
          <w:sz w:val="20"/>
          <w:szCs w:val="20"/>
        </w:rPr>
        <w:fldChar w:fldCharType="end"/>
      </w:r>
      <w:r w:rsidRPr="00BC3505">
        <w:rPr>
          <w:rFonts w:ascii="Book Antiqua" w:hAnsi="Book Antiqua"/>
          <w:sz w:val="20"/>
          <w:szCs w:val="20"/>
        </w:rPr>
        <w:t xml:space="preserve"> encontraron que mayores niveles de inteligencia emocional se asociaban con estrategias de afrontamiento más adaptativas entre enfermeras de cuidados intensivos, incluyendo afrontamiento activo, planificación y reformulación positiva. Del mismo modo, el metaanálisis de He et al. </w:t>
      </w:r>
      <w:r w:rsidR="00EE4E01">
        <w:rPr>
          <w:rFonts w:ascii="Book Antiqua" w:hAnsi="Book Antiqua"/>
          <w:sz w:val="20"/>
          <w:szCs w:val="20"/>
        </w:rPr>
        <w:fldChar w:fldCharType="begin" w:fldLock="1"/>
      </w:r>
      <w:r w:rsidR="002B6A0E">
        <w:rPr>
          <w:rFonts w:ascii="Book Antiqua" w:hAnsi="Book Antiqua"/>
          <w:sz w:val="20"/>
          <w:szCs w:val="20"/>
        </w:rPr>
        <w:instrText>ADDIN CSL_CITATION {"citationItems":[{"id":"ITEM-1","itemData":{"DOI":"10.1186/s12909-026-08619-8","abstract":"Background: Healthcare practitioners operate in high-pressure environments characterized by complex interpersonal dynamics, making emotional intelligence (EI) and resilience critical competencies. This meta-analysis systematically examines the association between EI and resilience among healthcare practitioners and explores potential moderating factors. Methods: A comprehensive search of six databases (ERIC, Web of Science, Medline, PsycINFO, PubMed, and Scopus) was conducted through September 2024. The analysis incorporated data from 34 studies involving 8,515 participants, yielding 90 effect sizes. Results: Results revealed a strong positive correlation between EI and resilience (r =.523, 95% CI [.473,.568], p &lt;.001). Notably, this relationship was significantly stronger among practicing healthcare practitioners compared to students. Moderator analyses indicated that EI and resilience measurement tools significantly influenced effect sizes, and regional differences were evident: Europe displayed a weaker association between emotional intelligence and resilience than Asia. Across groups, ability-based EI was more strongly linked to resilience than trait-based EI. However, resilience type, age, gender, and other factors showed no significant moderation effects. Conclusions: The findings highlight a positive relationship between EI and resilience, with stronger associations observed among practitioners than students. This cross-sectional pattern is consistent with the idea that workplace demands and accumulated experience may be associated with a closer linkage between EI and resilience. Together with prior evidence that EI and resilience can be developed, this provides a rationale for integrating EI and resilience training into healthcare education and practice to support practitioners’ adaptability in high-pressure clinical settings. © The Author(s) 2026.","author":[{"dropping-particle":"","family":"He","given":"Q","non-dropping-particle":"","parse-names":false,"suffix":""},{"dropping-particle":"","family":"Ye","given":"Y","non-dropping-particle":"","parse-names":false,"suffix":""},{"dropping-particle":"","family":"Liang","given":"J","non-dropping-particle":"","parse-names":false,"suffix":""},{"dropping-particle":"","family":"Zheng","given":"B","non-dropping-particle":"","parse-names":false,"suffix":""}],"container-title":"BMC Medical Education","id":"ITEM-1","issue":"1","issued":{"date-parts":[["2026"]]},"note":"Export Date: 24 August 2026; Cited By: 1","title":"The relationship between emotional intelligence and resilience in healthcare practitioners and students: a multilevel meta-analysis","type":"article-journal","volume":"26"},"suppress-author":1,"uris":["http://www.mendeley.com/documents/?uuid=8a752816-a040-43b9-9a36-1bf34d381aee"]}],"mendeley":{"formattedCitation":"(2026)","plainTextFormattedCitation":"(2026)","previouslyFormattedCitation":"(2026)"},"properties":{"noteIndex":0},"schema":"https://github.com/citation-style-language/schema/raw/master/csl-citation.json"}</w:instrText>
      </w:r>
      <w:r w:rsidR="00EE4E01">
        <w:rPr>
          <w:rFonts w:ascii="Book Antiqua" w:hAnsi="Book Antiqua"/>
          <w:sz w:val="20"/>
          <w:szCs w:val="20"/>
        </w:rPr>
        <w:fldChar w:fldCharType="separate"/>
      </w:r>
      <w:r w:rsidR="00EE4E01" w:rsidRPr="00EE4E01">
        <w:rPr>
          <w:rFonts w:ascii="Book Antiqua" w:hAnsi="Book Antiqua"/>
          <w:noProof/>
          <w:sz w:val="20"/>
          <w:szCs w:val="20"/>
        </w:rPr>
        <w:t>(2026)</w:t>
      </w:r>
      <w:r w:rsidR="00EE4E01">
        <w:rPr>
          <w:rFonts w:ascii="Book Antiqua" w:hAnsi="Book Antiqua"/>
          <w:sz w:val="20"/>
          <w:szCs w:val="20"/>
        </w:rPr>
        <w:fldChar w:fldCharType="end"/>
      </w:r>
      <w:r w:rsidR="00EE4E01">
        <w:rPr>
          <w:rFonts w:ascii="Book Antiqua" w:hAnsi="Book Antiqua"/>
          <w:sz w:val="20"/>
          <w:szCs w:val="20"/>
        </w:rPr>
        <w:t>,</w:t>
      </w:r>
      <w:r w:rsidRPr="00BC3505">
        <w:rPr>
          <w:rFonts w:ascii="Book Antiqua" w:hAnsi="Book Antiqua"/>
          <w:sz w:val="20"/>
          <w:szCs w:val="20"/>
        </w:rPr>
        <w:t xml:space="preserve"> que integró 34 estudios y 8515 participantes, mostró una asociación positiva entre inteligencia emocional y resiliencia en profesionales y estudiantes de salud. Horne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{"citationItems":[{"id":"ITEM-1","itemData":{"DOI":"10.1016/j.jsurg.2024.103307","abstract":"Objective: Physicians, residents, and medical students consistently report higher levels of stress, anxiety, depression, burnout, and suicide compared to the general population. Emotional intelligence is a trait 1 possesses that has been shown to have associations with aspects of mental health specifically in the medical field. It has also been studied in business literature demonstrating multiple performance benefits. The purpose of this review is to investigate the relationship of emotional intelligence and mental health and well-being, clinical performance, and academic success with physicians, residents, and medical students. Methods: A systematic review was conducted of studies investigating the associations of emotional intelligence on physicians, residents, or medical students between 2013 and 2023. Studies investigating the association of empathy within the study population were also included. Studies must have used a validated measure or reported a reliable method of measuring emotional intelligence or empathy. Results: Thirty-nine articles were included. The trait emotional intelligence questionnaire short form was the most frequently used assessment tool (28%). Mental health and well-being was the most common study outcome (67%). Twenty articles reported lower levels of burnout in those with higher emotional intelligence levels. (p &lt; 0.05). Other protective associations of emotional intelligence included decreased levels of anxiety, stress, and depression (p &lt; 0.05). Emotional intelligence was associated with multiple clinical performance metrics including patient satisfaction, perceived communication ratings, patient information recall, and improved decision making under operational stress (p &lt; 0.05). Conclusions: Emotional intelligence has beneficial associations for physicians at all levels of training. Those entering with higher levels of emotional intelligence may be better suited to handle the psychological effects described within the healthcare field. Emotional intelligence can also be improved through training. Using emotional intelligence as part of a holistic screening process may help predict and enhance the success of doctors, residents, and medical students, which can contribute to improving the healthcare system. © 2024 Association of Program Directors in Surgery","author":[{"dropping-particle":"","family":"Horne","given":"M J","non-dropping-particle":"","parse-names":false,"suffix":""},{"dropping-particle":"","family":"Allbright","given":"M","non-dropping-particle":"","parse-names":false,"suffix":""},{"dropping-particle":"","family":"Galbraith","given":"D A","non-dropping-particle":"","parse-names":false,"suffix":""},{"dropping-particle":"","family":"Patel","given":"A","non-dropping-particle":"","parse-names":false,"suffix":""}],"container-title":"Journal of Surgical Education","id":"ITEM-1","issue":"12","issued":{"date-parts":[["2024"]]},"note":"Export Date: 24 August 2026; Cited By: 20","title":"Emotional Intelligence in Medicine: An Investigation of the Significance for Physicians, Residents, and Medical Students – A Systematic Review","type":"article-journal","volume":"81"},"suppress-author":1,"uris":["http://www.mendeley.com/documents/?uuid=0ba68cf7-213c-4cb2-b94b-869d3c378eee"]}],"mendeley":{"formattedCitation":"(2024)","plainTextFormattedCitation":"(2024)","previouslyFormattedCitation":"(2024)"},"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(2024)</w:t>
      </w:r>
      <w:r w:rsidR="00253CA8">
        <w:rPr>
          <w:rFonts w:ascii="Book Antiqua" w:hAnsi="Book Antiqua"/>
          <w:sz w:val="20"/>
          <w:szCs w:val="20"/>
        </w:rPr>
        <w:fldChar w:fldCharType="end"/>
      </w:r>
      <w:r w:rsidRPr="00BC3505">
        <w:rPr>
          <w:rFonts w:ascii="Book Antiqua" w:hAnsi="Book Antiqua"/>
          <w:sz w:val="20"/>
          <w:szCs w:val="20"/>
        </w:rPr>
        <w:t xml:space="preserve"> también documentaron asociaciones de la inteligencia emocional con menor estrés y burnout y con mejores indicadores de desempeño y comunicación en el ámbito médico. Por ello, estas dimensiones podrían relacionarse con la comunicación principalmente al facilitar la adaptación ante presión laboral, la regulación de respuestas emocionales y el mantenimiento de interacciones funcionales en escenarios exigentes, aspecto que futuros estudios deberían evaluar mediante modelos que examinen explícitamente dichos mecanismos.</w:t>
      </w:r>
    </w:p>
    <w:p w14:paraId="4EFD82BE" w14:textId="7F36B940"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 xml:space="preserve">Los resultados descriptivos mostraron, además, que mientras la inteligencia emocional se concentró principalmente en un nivel bueno, la comunicación interna presentó predominantemente un nivel regular. Esta diferencia refuerza la idea de que poseer competencias emocionales favorables no garantiza por sí solo una comunicación organizacional óptima. Rezaee </w:t>
      </w:r>
      <w:r w:rsidRPr="00BC3505">
        <w:rPr>
          <w:rFonts w:ascii="Book Antiqua" w:hAnsi="Book Antiqua"/>
          <w:sz w:val="20"/>
          <w:szCs w:val="20"/>
        </w:rPr>
        <w:lastRenderedPageBreak/>
        <w:t xml:space="preserve">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{"citationItems":[{"id":"ITEM-1","itemData":{"DOI":"10.30476/jhsss.2021.91998.1278","abstract":"Background: A variety of clinical and administrative employees form a complicated communication network which makes various conflicts and contradictions possible in hospitals. This highlights the significant impact of internal communication in directing healthcare centers as one of the manager's duties. Although improving hospital management is key to improvement of the healthcare delivery, few studies have been conducted to address internal communication as one of the main management tasks in hospitals. The current study aimed to determine the contributing factors influencing internal communication based on hospital managers and healthcare personnel's points of view. Methods: A qualitative study utilizing a content analysis approach was performed. A purposive sampling method was recruited and twenty hospital managers and healthcare staff in Shiraz University of Medical Sciences participated in the study. Semi-structured interviews with open-ended questions were conducted. Data were analyzed using thematic analysis by MAXQDA version 10. Results: Eight managers and twelve healthcare staff including eleven male and nine female subjects participated in the study. Three main themes were discerned: namely \"personal factors\", \"technical factors\", and \"organizational and structural factors\". The participants placed the most emphasis on leadership and new technologies as the influential subthemes. Conclusion: Many factors can affect internal communication, some of which depend mostly on managers to be applied effectively in the hospitals and some on healthcare staff. The identified factors help the managers and staff to recognize how their internal communication can be impressed by these factors and how they can create effective internal communications. © Journal of Health Sciences and Surveillance System.All right reserved.","author":[{"dropping-particle":"","family":"Rezaee","given":"R","non-dropping-particle":"","parse-names":false,"suffix":""},{"dropping-particle":"","family":"Zare","given":"S","non-dropping-particle":"","parse-names":false,"suffix":""},{"dropping-particle":"","family":"Niknam","given":"F","non-dropping-particle":"","parse-names":false,"suffix":""},{"dropping-particle":"","family":"Akbari","given":"A","non-dropping-particle":"","parse-names":false,"suffix":""},{"dropping-particle":"","family":"Shirdeli","given":"M","non-dropping-particle":"","parse-names":false,"suffix":""},{"dropping-particle":"","family":"Falahati","given":"F","non-dropping-particle":"","parse-names":false,"suffix":""},{"dropping-particle":"","family":"Aghajani","given":"S","non-dropping-particle":"","parse-names":false,"suffix":""}],"container-title":"Journal of Health Sciences and Surveillance System","id":"ITEM-1","issue":"3","issued":{"date-parts":[["2022"]]},"note":"Export Date: 24 August 2026; Cited By: 2","page":"342-350","title":"Contributing Factors in Hospital Internal Communication based on Hospital Managers and Healthcare Personnel's Attitudes: A Qualitative Study","type":"article-journal","volume":"10"},"suppress-author":1,"uris":["http://www.mendeley.com/documents/?uuid=9df7dddf-409d-400f-b70b-bb4e6e0d292b"]}],"mendeley":{"formattedCitation":"(2022)","plainTextFormattedCitation":"(2022)","previouslyFormattedCitation":"(2022)"},"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(2022)</w:t>
      </w:r>
      <w:r w:rsidR="00253CA8">
        <w:rPr>
          <w:rFonts w:ascii="Book Antiqua" w:hAnsi="Book Antiqua"/>
          <w:sz w:val="20"/>
          <w:szCs w:val="20"/>
        </w:rPr>
        <w:fldChar w:fldCharType="end"/>
      </w:r>
      <w:r w:rsidRPr="00BC3505">
        <w:rPr>
          <w:rFonts w:ascii="Book Antiqua" w:hAnsi="Book Antiqua"/>
          <w:sz w:val="20"/>
          <w:szCs w:val="20"/>
        </w:rPr>
        <w:t xml:space="preserve"> identificaron que la comunicación interna hospitalaria está determinada simultáneamente por factores personales, técnicos y organizacionales o estructurales, con especial relevancia del liderazgo y las tecnologías empleadas. De manera similar, Darcho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{"citationItems":[{"id":"ITEM-1","itemData":{"DOI":"10.2147/RMHP.S445682","abstract":"Background: Communication in healthcare organizations is an important factor in quality care, patient safety, and financial function. However, there was a dearth of evidence on the organizational communication skills of healthcare providers in Ethiopia, including the current study area, Wolaita Sodo. This study is aimed at assessing the level of organizational communication skills and their associated factors among healthcare providers working at Wolaita Sodo health facilities, SNNPRS, Ethiopia. Methods: An institutional-based cross-sectional study design was conducted. A pretested and structured questionnaire was utilized using the self-administration method. The data were entered into Epi Data version 3.1 and analyzed using STATA version 17.0. Pearson correlation, a binary logistic regression analysis was carried out to identify factors associated with outcome variables. Accordingly, variables that fulfilled p-values &lt;0.25 on the bivariate logistic regression were considered candidates for multivariate logistic regression to control for possible confounders. The odds ratios along with the 95% confidence interval were used to present the finding, and statistical significance was reported at a p-value of 0.05. Results: In the current study, about 45.8% (95% CI: 40.9–50.7) of the health professionals experienced good organizational communication skills. Males [AOR = 2.29; 95% CI = 1.38, 3.82], who had training in communication skills [AOR = 2.30; 95% CI = 1.46, 3.63], and those working at laboratories [AOR = 3.22; 95% CI = 1.07, 9.65] were significantly associated with organizational communication skills. Conclusion: Less than half of the participants practiced good organizational communication skills. Sex, training on communication skills, and working units were important factors affecting the communication skills of healthcare providers. Interventions to improve the communication skills of healthcare providers should be instituted targeting females, those who have never taken training on communication skills, and those who are working at the ward. © 2024 Darcho et al.","author":[{"dropping-particle":"","family":"Darcho","given":"S D","non-dropping-particle":"","parse-names":false,"suffix":""},{"dropping-particle":"","family":"Ayele","given":"B H","non-dropping-particle":"","parse-names":false,"suffix":""},{"dropping-particle":"","family":"Demena","given":"M","non-dropping-particle":"","parse-names":false,"suffix":""},{"dropping-particle":"","family":"Firdisa","given":"D","non-dropping-particle":"","parse-names":false,"suffix":""},{"dropping-particle":"","family":"Shawel","given":"S","non-dropping-particle":"","parse-names":false,"suffix":""},{"dropping-particle":"","family":"Berhanu","given":"A","non-dropping-particle":"","parse-names":false,"suffix":""}],"container-title":"Risk Management and Healthcare Policy","id":"ITEM-1","issued":{"date-parts":[["2024"]]},"note":"Export Date: 24 August 2026; Cited By: 3","page":"79-88","title":"Organizational Communication Skills and Its Associated Factors Among Healthcare Providers Working at Wolaita Sodo Health Facilities, Southern Ethiopia: A Cross-Sectional Study","type":"article-journal","volume":"17"},"suppress-author":1,"uris":["http://www.mendeley.com/documents/?uuid=6287213e-4ce6-4b40-883f-27fb9e48f50b"]}],"mendeley":{"formattedCitation":"(2024)","plainTextFormattedCitation":"(2024)","previouslyFormattedCitation":"(2024)"},"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(2024)</w:t>
      </w:r>
      <w:r w:rsidR="00253CA8">
        <w:rPr>
          <w:rFonts w:ascii="Book Antiqua" w:hAnsi="Book Antiqua"/>
          <w:sz w:val="20"/>
          <w:szCs w:val="20"/>
        </w:rPr>
        <w:fldChar w:fldCharType="end"/>
      </w:r>
      <w:r w:rsidRPr="00BC3505">
        <w:rPr>
          <w:rFonts w:ascii="Book Antiqua" w:hAnsi="Book Antiqua"/>
          <w:sz w:val="20"/>
          <w:szCs w:val="20"/>
        </w:rPr>
        <w:t xml:space="preserve"> encontraron que la formación en comunicación y determinadas características laborales estaban asociadas con las competencias de comunicación organizacional de los profesionales sanitarios, mientras que Pirrotta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{"citationItems":[{"id":"ITEM-1","itemData":{"DOI":"10.1108/IJPSM-07-2024-0222","abstract":"Purpose: Communication and job satisfaction are two key factors for the success of public organisations. The study aims, firstly, to examine the effects of training activities and internal meetings on the perceived quality of communication processes; secondly, to explore the nuanced relationship between communication and job satisfaction. Design/methodology/approach: This is a cross-sectional study based on results from organisational climate surveys conducted between 2019 and 2020 in six Italian Regional Healthcare Systems, involving a total of 58,888 employees. Linear regression models were performed. Findings: Results highlight that employee satisfaction is positively influenced by high-quality internal communication. The organisation of frequent internal meetings and the offer of ad hoc training sessions on communication were found to be antecedents of good communication. Practical implications: The study offers practical implications for healthcare organisations, highlighting specific strategies that can be employed to enhance internal communication and, subsequently, job satisfaction. The emphasis on training programmes and internal meetings provides actionable insights for organisational improvement. Originality/value: The originality and value of this study lie in its unique large datasets, which significantly strengthen the reliability of the findings and make them more applicable to a wider range of contexts. Also, the exploration of the relationship between internal communication processes and job satisfaction within public healthcare organisations contributes to the growing body of knowledge in organisational studies. © 2024, Luca Pirrotta, Amerigo Ferrari, Paola Cantarelli and Nicola Belle.","author":[{"dropping-particle":"","family":"Pirrotta","given":"L","non-dropping-particle":"","parse-names":false,"suffix":""},{"dropping-particle":"","family":"Ferrari","given":"A","non-dropping-particle":"","parse-names":false,"suffix":""},{"dropping-particle":"","family":"Cantarelli","given":"P","non-dropping-particle":"","parse-names":false,"suffix":""},{"dropping-particle":"","family":"Belle","given":"N","non-dropping-particle":"","parse-names":false,"suffix":""}],"container-title":"International Journal of Public Sector Management","id":"ITEM-1","issued":{"date-parts":[["2024"]]},"note":"Export Date: 24 August 2026; Cited By: 6","title":"Communication and job satisfaction among public employees: evidence from large-scale surveys with healthcare professionals","type":"article-journal"},"suppress-author":1,"uris":["http://www.mendeley.com/documents/?uuid=6e4b5029-b163-42f2-820b-1ed115970350"]}],"mendeley":{"formattedCitation":"(2024)","plainTextFormattedCitation":"(2024)","previouslyFormattedCitation":"(2024)"},"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(2024)</w:t>
      </w:r>
      <w:r w:rsidR="00253CA8">
        <w:rPr>
          <w:rFonts w:ascii="Book Antiqua" w:hAnsi="Book Antiqua"/>
          <w:sz w:val="20"/>
          <w:szCs w:val="20"/>
        </w:rPr>
        <w:fldChar w:fldCharType="end"/>
      </w:r>
      <w:r w:rsidRPr="00BC3505">
        <w:rPr>
          <w:rFonts w:ascii="Book Antiqua" w:hAnsi="Book Antiqua"/>
          <w:sz w:val="20"/>
          <w:szCs w:val="20"/>
        </w:rPr>
        <w:t>, utilizando información de 58 888 trabajadores de sistemas sanitarios italianos, observaron que las reuniones internas y la capacitación específica se relacionaban con una mejor calidad percibida de los procesos comunicativos. Estos hallazgos permiten situar nuestros resultados dentro de una perspectiva multifactorial: la inteligencia emocional constituye un componente relevante, pero actúa en un entorno donde también intervienen estructuras, liderazgo, canales de información, capacitación y prácticas institucionales.</w:t>
      </w:r>
    </w:p>
    <w:p w14:paraId="6E8D928E" w14:textId="1F866E50"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 xml:space="preserve">Esta perspectiva tiene implicaciones para la gestión de los servicios de salud. Las intervenciones orientadas exclusivamente a mejorar habilidades individuales podrían resultar insuficientes si no se acompañan de mecanismos organizacionales que faciliten la comunicación. La revisión sistemática y metaanálisis de Kawashima et al. </w:t>
      </w:r>
      <w:r w:rsidR="00253CA8">
        <w:rPr>
          <w:rFonts w:ascii="Book Antiqua" w:hAnsi="Book Antiqua"/>
          <w:sz w:val="20"/>
          <w:szCs w:val="20"/>
        </w:rPr>
        <w:fldChar w:fldCharType="begin" w:fldLock="1"/>
      </w:r>
      <w:r w:rsidR="00253CA8">
        <w:rPr>
          <w:rFonts w:ascii="Book Antiqua" w:hAnsi="Book Antiqua"/>
          <w:sz w:val="20"/>
          <w:szCs w:val="20"/>
        </w:rPr>
        <w:instrText>ADDIN CSL_CITATION {"citationItems":[{"id":"ITEM-1","itemData":{"DOI":"10.1016/j.nedt.2025.106743","abstract":"Aims: This study evaluates the effectiveness of emotional intelligence training on emotional intelligence, resilience, stress, and communication skills among nurses and nursing students. Design: We conducted a systematic review and meta-analysis of the effectiveness of emotional intelligence training in nurses and nursing students. Data sources: Randomised controlled trials were searched in MEDLINE (via PubMed), CINAHL (via EBSCOhost), Web of Science (via Ovid), ERIC (via ProQuest), Cochrane Central Register of Controlled Trials (CENTRAL), and Igaku Chuo Zasshi databases from inception to 9–11 October 2024. Review methods: Two authors independently screened each study and assessed eligibility. Authors calculated the pooled effect estimates associated with nurses' and nursing students' emotional intelligence, resilience, stress, and communication skills using a random-effects meta-analytic model. Results: The search yielded 1731 studies from electronic databases. After removing duplicates, 1294 records remained. Following title and abstract screening, 34 studies qualified for full-text review, of which 11 studies were excluded based on inclusion criteria, leaving 23 studies for analysis. Emotional intelligence training significantly improved emotional intelligence compared to the control group (16 trials, N = 1155; SMD = 1.76 [95 % CI: 1.06 to 2.45]). It also had a significant effect in reducing stress (4 trials, N = 312; SMD = −1.51 [95 % CI: −2.96 to −0.07]) and demonstrated a significant positive effect on communication skills (4 trials, N = 329; SMD = 2.72 [95 % CI: 0.64 to 4.79]). However, it had no significant effect on resilience (2 trials, N = 138; SMD = 2.71 [95 % CI: −1.55 to 6.97]). Conclusions: This study found that emotional intelligence training had a statistically significant positive impact on enhancing emotional intelligence in nursing students and nurses in both the short and long term. It also significantly reduced stress and improved communication skills but had no significant effect on resilience. © 2025 Elsevier Ltd","author":[{"dropping-particle":"","family":"Kawashima","given":"T","non-dropping-particle":"","parse-names":false,"suffix":""},{"dropping-particle":"","family":"Ota","given":"Y","non-dropping-particle":"","parse-names":false,"suffix":""},{"dropping-particle":"","family":"Aikawa","given":"G","non-dropping-particle":"","parse-names":false,"suffix":""},{"dropping-particle":"","family":"Watanabe","given":"M","non-dropping-particle":"","parse-names":false,"suffix":""},{"dropping-particle":"","family":"Ashida","given":"K","non-dropping-particle":"","parse-names":false,"suffix":""},{"dropping-particle":"","family":"Sakuramoto","given":"H","non-dropping-particle":"","parse-names":false,"suffix":""}],"container-title":"Nurse Education Today","id":"ITEM-1","issued":{"date-parts":[["2025"]]},"note":"Export Date: 25 August 2026; Cited By: 37","title":"Effectiveness of emotional intelligence training on nurses' and nursing students' emotional intelligence, resilience, stress, and communication skills: a systematic review and meta-analysis","type":"article-journal","volume":"151"},"suppress-author":1,"uris":["http://www.mendeley.com/documents/?uuid=484df089-eade-465e-bbba-5f2b2690474f"]}],"mendeley":{"formattedCitation":"(2025)","plainTextFormattedCitation":"(2025)","previouslyFormattedCitation":"(2025)"},"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(2025)</w:t>
      </w:r>
      <w:r w:rsidR="00253CA8">
        <w:rPr>
          <w:rFonts w:ascii="Book Antiqua" w:hAnsi="Book Antiqua"/>
          <w:sz w:val="20"/>
          <w:szCs w:val="20"/>
        </w:rPr>
        <w:fldChar w:fldCharType="end"/>
      </w:r>
      <w:r w:rsidRPr="00BC3505">
        <w:rPr>
          <w:rFonts w:ascii="Book Antiqua" w:hAnsi="Book Antiqua"/>
          <w:sz w:val="20"/>
          <w:szCs w:val="20"/>
        </w:rPr>
        <w:t xml:space="preserve"> encontró que las intervenciones de entrenamiento en inteligencia emocional mejoraron significativamente tanto la inteligencia emocional como las habilidades comunicativas de enfermeras y estudiantes de enfermería. A su vez, Musitia et al. </w:t>
      </w:r>
      <w:r w:rsidR="00253CA8">
        <w:rPr>
          <w:rFonts w:ascii="Book Antiqua" w:hAnsi="Book Antiqua"/>
          <w:sz w:val="20"/>
          <w:szCs w:val="20"/>
        </w:rPr>
        <w:fldChar w:fldCharType="begin" w:fldLock="1"/>
      </w:r>
      <w:r w:rsidR="00EE4E01">
        <w:rPr>
          <w:rFonts w:ascii="Book Antiqua" w:hAnsi="Book Antiqua"/>
          <w:sz w:val="20"/>
          <w:szCs w:val="20"/>
        </w:rPr>
        <w:instrText>ADDIN CSL_CITATION {"citationItems":[{"id":"ITEM-1","itemData":{"DOI":"10.12688/wellcomeopenres.18006.1","abstract":"Introduction: Effective communication is essential to delivering compassionate, high-quality nursing care. The intensive, stressful and technical environment of a new-born unit (NBU) in a low-resource setting presents communication-related challenges for nurses, with negative implications for nurse well-being, team relationships and patient care. We adapted a pre-existing communication and emotional competence course with NBU nurse managers working in Kenya, explored its’ value to participants and developed a theory of change to evaluate its’ potential impact. Methods: 18 neonatal nurse managers from 14 county referral hospitals helped adapt and participated in a nine-month participatory training process. Training involved guided ‘on the job’ self-observation and reflection to build self-awareness, and two face-to-face skills-building workshops. The course and potential for future scale up was assessed using written responses from participant nurses (baseline questionnaires, reflective assignments, pre and post workshop questionnaires), workshop observation notes, two group discussions and nine individual in-depth interviews. Results: Participants were extremely positive about the course, with many emphasizing its direct relevance and applicability to their daily work. Increased self-awareness and ability to recognize their own, colleagues’ and patients’ emotional triggers, together with new knowledge and practical skills, reportedly inspired nurses to change; in turn influencing their ability to provide respectful care, improving their confidence and relationships and giving them a stronger sense of professional identity. Conclusion: Providing respectful care is a major challenge in low-resource, high-pressure clinical settings but there are few strategies to address this problem. The participatory training process examined addresses this challenge and has potential for positive impacts for families, individual workers and teams, including worker well-being. We present an initial theory of change to support future evaluations aimed at exploring if and how positive gains can be sustained and spread within the wider system. Copyright: © 2022 Musitia P et al.","author":[{"dropping-particle":"","family":"Musitia","given":"P","non-dropping-particle":"","parse-names":false,"suffix":""},{"dropping-particle":"","family":"Boga","given":"M","non-dropping-particle":"","parse-names":false,"suffix":""},{"dropping-particle":"","family":"Oluoch","given":"D","non-dropping-particle":"","parse-names":false,"suffix":""},{"dropping-particle":"","family":"Haaland","given":"A","non-dropping-particle":"","parse-names":false,"suffix":""},{"dropping-particle":"","family":"Nzinga","given":"J","non-dropping-particle":"","parse-names":false,"suffix":""},{"dropping-particle":"","family":"English","given":"M","non-dropping-particle":"","parse-names":false,"suffix":""},{"dropping-particle":"","family":"Molyneux","given":"S","non-dropping-particle":"","parse-names":false,"suffix":""}],"container-title":"Wellcome Open Research","id":"ITEM-1","issued":{"date-parts":[["2022"]]},"note":"Export Date: 25 August 2026; Cited By: 12","title":"Strengthening respectful communication with patients and colleagues in neonatal units — developing and evaluating a communication and emotional competence training for nurse managers in Kenya","type":"article-journal","volume":"7"},"suppress-author":1,"uris":["http://www.mendeley.com/documents/?uuid=b445c491-e07e-4e21-b33d-8151730d93a9"]}],"mendeley":{"formattedCitation":"(2022)","plainTextFormattedCitation":"(2022)","previouslyFormattedCitation":"(2022)"},"properties":{"noteIndex":0},"schema":"https://github.com/citation-style-language/schema/raw/master/csl-citation.json"}</w:instrText>
      </w:r>
      <w:r w:rsidR="00253CA8">
        <w:rPr>
          <w:rFonts w:ascii="Book Antiqua" w:hAnsi="Book Antiqua"/>
          <w:sz w:val="20"/>
          <w:szCs w:val="20"/>
        </w:rPr>
        <w:fldChar w:fldCharType="separate"/>
      </w:r>
      <w:r w:rsidR="00253CA8" w:rsidRPr="00253CA8">
        <w:rPr>
          <w:rFonts w:ascii="Book Antiqua" w:hAnsi="Book Antiqua"/>
          <w:noProof/>
          <w:sz w:val="20"/>
          <w:szCs w:val="20"/>
        </w:rPr>
        <w:t>(2022)</w:t>
      </w:r>
      <w:r w:rsidR="00253CA8">
        <w:rPr>
          <w:rFonts w:ascii="Book Antiqua" w:hAnsi="Book Antiqua"/>
          <w:sz w:val="20"/>
          <w:szCs w:val="20"/>
        </w:rPr>
        <w:fldChar w:fldCharType="end"/>
      </w:r>
      <w:r w:rsidRPr="00BC3505">
        <w:rPr>
          <w:rFonts w:ascii="Book Antiqua" w:hAnsi="Book Antiqua"/>
          <w:sz w:val="20"/>
          <w:szCs w:val="20"/>
        </w:rPr>
        <w:t xml:space="preserve"> mostró beneficios potenciales de intervenciones que integran autoconciencia, competencia emocional y comunicación en responsables de enfermería. Por tanto, los resultados del presente estudio respaldan razonablemente estrategias que combinen el desarrollo de competencias emocionales —particularmente intrapersonales e interpersonales— con actividades institucionales destinadas a fortalecer los canales de comunicación, la retroalimentación, las reuniones de trabajo y la coordinación entre profesionales. Estas implicaciones deben considerarse como aplicaciones potenciales de la evidencia y no como efectos demostrados por el diseño transversal utilizado.</w:t>
      </w:r>
    </w:p>
    <w:p w14:paraId="483C4221" w14:textId="77777777" w:rsidR="00BC3505" w:rsidRPr="00BC3505" w:rsidRDefault="00BC3505" w:rsidP="003317CA">
      <w:pPr>
        <w:spacing w:before="120" w:after="120" w:line="240" w:lineRule="auto"/>
        <w:rPr>
          <w:rFonts w:ascii="Book Antiqua" w:hAnsi="Book Antiqua"/>
          <w:sz w:val="20"/>
          <w:szCs w:val="20"/>
        </w:rPr>
      </w:pPr>
      <w:r w:rsidRPr="00BC3505">
        <w:rPr>
          <w:rFonts w:ascii="Book Antiqua" w:hAnsi="Book Antiqua"/>
          <w:sz w:val="20"/>
          <w:szCs w:val="20"/>
        </w:rPr>
        <w:t>El estudio presenta limitaciones que deben considerarse al interpretar los hallazgos. En primer lugar, su diseño no experimental y transversal permite establecer asociaciones estadísticas, pero no determinar temporalidad ni causalidad; esta limitación ya es reconocida en el documento original. Asimismo, la investigación se desarrolló en un único establecimiento de salud de San Martín, lo que restringe la generalización de los resultados a organizaciones con estructuras, culturas institucionales o perfiles profesionales diferentes. En segundo lugar, ambas variables fueron obtenidas mediante cuestionarios respondidos por los mismos participantes, por lo que las mediciones pueden estar expuestas a sesgos propios del autorreporte y a varianza asociada al método de medición. Además, aunque los instrumentos fueron sometidos a juicio de expertos y mostraron adecuada consistencia interna, fueron elaborados para esta investigación, por lo que futuros estudios deberían considerar instrumentos con validación psicométrica más amplia y evaluar la estabilidad de los hallazgos en diferentes instituciones. Diseños multicéntricos, longitudinales y modelos que incorporen simultáneamente factores emocionales y organizacionales permitirían precisar mejor la naturaleza de estas relaciones.</w:t>
      </w:r>
    </w:p>
    <w:p w14:paraId="3E23E083" w14:textId="4AC1BF3C" w:rsidR="00BC3505" w:rsidRPr="00BC3505" w:rsidRDefault="00BC3505" w:rsidP="00BC3505">
      <w:pPr>
        <w:spacing w:before="120" w:after="120" w:line="240" w:lineRule="auto"/>
        <w:rPr>
          <w:rFonts w:ascii="Book Antiqua" w:hAnsi="Book Antiqua"/>
          <w:sz w:val="20"/>
          <w:szCs w:val="20"/>
        </w:rPr>
      </w:pPr>
      <w:r w:rsidRPr="00BC3505">
        <w:rPr>
          <w:rFonts w:ascii="Book Antiqua" w:hAnsi="Book Antiqua"/>
          <w:sz w:val="20"/>
          <w:szCs w:val="20"/>
        </w:rPr>
        <w:t xml:space="preserve">A pesar de estas limitaciones, el estudio aporta evidencia empírica sobre una cuestión que permanece menos desarrollada en la literatura sanitaria: la relación entre la inteligencia emocional y la comunicación interna como fenómeno organizacional, examinando además el comportamiento diferenciado de sus componentes emocionales. La evidencia obtenida indica que la asociación no fue uniforme entre las cinco dimensiones, dado que los modelos intrapersonal e interpersonal presentaron los mayores indicadores de ajuste, mientras que adaptabilidad, manejo del estrés y estado de ánimo mostraron valores menores, aunque estadísticamente significativos. Este patrón complementa la literatura que tradicionalmente ha estudiado la inteligencia emocional junto con comunicación clínica, interpersonal, satisfacción laboral o desempeño, y sugiere que comprender la comunicación interna sanitaria requiere integrar competencias emocionales individuales con condiciones organizacionales. En consecuencia, el principal aporte del estudio no consiste en afirmar que la inteligencia emocional determina causalmente la comunicación, sino en mostrar que constituye un componente </w:t>
      </w:r>
      <w:r w:rsidRPr="00BC3505">
        <w:rPr>
          <w:rFonts w:ascii="Book Antiqua" w:hAnsi="Book Antiqua"/>
          <w:sz w:val="20"/>
          <w:szCs w:val="20"/>
        </w:rPr>
        <w:lastRenderedPageBreak/>
        <w:t>estadísticamente relevante dentro de una dinámica comunicacional más amplia y multidimensional.</w:t>
      </w:r>
    </w:p>
    <w:p w14:paraId="033D9A43" w14:textId="45FA1504" w:rsidR="00CF0AF2" w:rsidRPr="002B6A0E" w:rsidRDefault="00CF0AF2" w:rsidP="003C0DBC">
      <w:pPr>
        <w:pStyle w:val="Ttulo2"/>
        <w:numPr>
          <w:ilvl w:val="0"/>
          <w:numId w:val="2"/>
        </w:numPr>
        <w:spacing w:before="360" w:after="120"/>
        <w:rPr>
          <w:rFonts w:ascii="Book Antiqua" w:hAnsi="Book Antiqua"/>
          <w:szCs w:val="24"/>
        </w:rPr>
      </w:pPr>
      <w:r w:rsidRPr="002B6A0E">
        <w:rPr>
          <w:rFonts w:ascii="Book Antiqua" w:hAnsi="Book Antiqua"/>
          <w:szCs w:val="24"/>
        </w:rPr>
        <w:t>Conclusiones</w:t>
      </w:r>
    </w:p>
    <w:p w14:paraId="11D4B23B" w14:textId="4DC2F006" w:rsidR="00BC3505" w:rsidRPr="00BC3505" w:rsidRDefault="00BC3505" w:rsidP="00BC3505">
      <w:pPr>
        <w:spacing w:after="120" w:line="240" w:lineRule="auto"/>
        <w:rPr>
          <w:rFonts w:ascii="Book Antiqua" w:hAnsi="Book Antiqua"/>
          <w:bCs/>
          <w:sz w:val="20"/>
          <w:szCs w:val="20"/>
        </w:rPr>
      </w:pPr>
      <w:r w:rsidRPr="00BC3505">
        <w:rPr>
          <w:rFonts w:ascii="Book Antiqua" w:hAnsi="Book Antiqua"/>
          <w:bCs/>
          <w:sz w:val="20"/>
          <w:szCs w:val="20"/>
        </w:rPr>
        <w:t>La inteligencia emocional se relacionó significativamente con la comunicación interna de los trabajadores del establecimiento de salud estudiado, evidenciándose una contribución estadística relevante de esta variable al ajuste del modelo de comunicación interna. Este resultado permite sostener que las competencias emocionales constituyen un componente relacionado con la dinámica comunicacional dentro de la organización sanitaria, aunque la naturaleza transversal y no experimental del estudio no permite establecer una relación causal.</w:t>
      </w:r>
    </w:p>
    <w:p w14:paraId="76500D48" w14:textId="27C62F84" w:rsidR="00A83527" w:rsidRPr="00BF3499" w:rsidRDefault="00BC3505" w:rsidP="00BC3505">
      <w:pPr>
        <w:spacing w:after="120" w:line="240" w:lineRule="auto"/>
        <w:rPr>
          <w:rFonts w:ascii="Book Antiqua" w:hAnsi="Book Antiqua"/>
          <w:bCs/>
          <w:sz w:val="20"/>
          <w:szCs w:val="20"/>
        </w:rPr>
      </w:pPr>
      <w:r w:rsidRPr="00BC3505">
        <w:rPr>
          <w:rFonts w:ascii="Book Antiqua" w:hAnsi="Book Antiqua"/>
          <w:bCs/>
          <w:sz w:val="20"/>
          <w:szCs w:val="20"/>
        </w:rPr>
        <w:t>El análisis por dimensiones mostró un comportamiento diferenciado de las competencias emocionales, con mayores indicadores de ajuste para las dimensiones intrapersonal e interpersonal, mientras que adaptabilidad, manejo del estrés y estado de ánimo también presentaron asociaciones estadísticamente significativas, pero con menores valores de pseudo-R². En conjunto, estos hallazgos aportan evidencia empírica para comprender la comunicación interna sanitaria como un fenómeno relacionado de manera no uniforme con distintos componentes de la inteligencia emocional y respaldan la pertinencia de considerar conjuntamente las competencias emocionales individuales y las condiciones organizacionales al estudiar los procesos comunicativos en instituciones de salud.</w:t>
      </w:r>
    </w:p>
    <w:p w14:paraId="55C69E7D" w14:textId="77777777" w:rsidR="001B2B92" w:rsidRPr="00B97F61" w:rsidRDefault="001B2B92" w:rsidP="00A83527">
      <w:pPr>
        <w:pStyle w:val="Ttulo2"/>
        <w:spacing w:before="360" w:after="120"/>
        <w:rPr>
          <w:rFonts w:ascii="Book Antiqua" w:hAnsi="Book Antiqua"/>
        </w:rPr>
      </w:pPr>
      <w:r w:rsidRPr="00B97F61">
        <w:rPr>
          <w:rFonts w:ascii="Book Antiqua" w:hAnsi="Book Antiqua"/>
        </w:rPr>
        <w:t>Financiamiento</w:t>
      </w:r>
    </w:p>
    <w:p w14:paraId="3FBAF255" w14:textId="77777777" w:rsidR="00351025" w:rsidRPr="00B97F61" w:rsidRDefault="00093EEC" w:rsidP="006D70E1">
      <w:pPr>
        <w:spacing w:after="360" w:line="240" w:lineRule="auto"/>
        <w:rPr>
          <w:rFonts w:ascii="Book Antiqua" w:hAnsi="Book Antiqua"/>
          <w:sz w:val="20"/>
          <w:lang w:val="es-ES"/>
        </w:rPr>
      </w:pPr>
      <w:r w:rsidRPr="00B97F61">
        <w:rPr>
          <w:rFonts w:ascii="Book Antiqua" w:hAnsi="Book Antiqua"/>
          <w:sz w:val="20"/>
          <w:lang w:val="es-ES"/>
        </w:rPr>
        <w:t>Ninguno</w:t>
      </w:r>
      <w:r w:rsidR="006D70E1" w:rsidRPr="00B97F61">
        <w:rPr>
          <w:rFonts w:ascii="Book Antiqua" w:hAnsi="Book Antiqua"/>
          <w:sz w:val="20"/>
          <w:lang w:val="es-ES"/>
        </w:rPr>
        <w:t>.</w:t>
      </w:r>
    </w:p>
    <w:p w14:paraId="01EF8751" w14:textId="77777777" w:rsidR="001B2B92" w:rsidRPr="00B97F61" w:rsidRDefault="001B2B92" w:rsidP="00763CB0">
      <w:pPr>
        <w:pStyle w:val="Ttulo2"/>
        <w:spacing w:before="240" w:after="120"/>
        <w:rPr>
          <w:rFonts w:ascii="Book Antiqua" w:hAnsi="Book Antiqua"/>
        </w:rPr>
      </w:pPr>
      <w:r w:rsidRPr="00B97F61">
        <w:rPr>
          <w:rFonts w:ascii="Book Antiqua" w:hAnsi="Book Antiqua"/>
        </w:rPr>
        <w:t>Conflicto de intereses</w:t>
      </w:r>
    </w:p>
    <w:p w14:paraId="5D26D922" w14:textId="77777777" w:rsidR="00F90B85" w:rsidRPr="00B97F61" w:rsidRDefault="00F90B85" w:rsidP="006D70E1">
      <w:pPr>
        <w:spacing w:after="360" w:line="240" w:lineRule="auto"/>
        <w:rPr>
          <w:rFonts w:ascii="Book Antiqua" w:hAnsi="Book Antiqua"/>
          <w:sz w:val="20"/>
          <w:szCs w:val="26"/>
        </w:rPr>
      </w:pPr>
      <w:r w:rsidRPr="00B97F61">
        <w:rPr>
          <w:rFonts w:ascii="Book Antiqua" w:hAnsi="Book Antiqua"/>
          <w:sz w:val="20"/>
          <w:szCs w:val="26"/>
        </w:rPr>
        <w:t xml:space="preserve">Los autores declaran no </w:t>
      </w:r>
      <w:r w:rsidRPr="00B97F61">
        <w:rPr>
          <w:rFonts w:ascii="Book Antiqua" w:hAnsi="Book Antiqua"/>
          <w:sz w:val="20"/>
          <w:lang w:val="es-ES"/>
        </w:rPr>
        <w:t>tener</w:t>
      </w:r>
      <w:r w:rsidRPr="00B97F61">
        <w:rPr>
          <w:rFonts w:ascii="Book Antiqua" w:hAnsi="Book Antiqua"/>
          <w:sz w:val="20"/>
          <w:szCs w:val="26"/>
        </w:rPr>
        <w:t xml:space="preserve"> ningún conflicto de intereses.</w:t>
      </w:r>
    </w:p>
    <w:p w14:paraId="3664DBB9" w14:textId="77777777" w:rsidR="001B2B92" w:rsidRPr="00B97F61" w:rsidRDefault="001B2B92" w:rsidP="00763CB0">
      <w:pPr>
        <w:pStyle w:val="Ttulo2"/>
        <w:spacing w:before="240" w:after="120"/>
        <w:rPr>
          <w:rFonts w:ascii="Book Antiqua" w:hAnsi="Book Antiqua"/>
        </w:rPr>
      </w:pPr>
      <w:r w:rsidRPr="00B97F61">
        <w:rPr>
          <w:rFonts w:ascii="Book Antiqua" w:hAnsi="Book Antiqua"/>
        </w:rPr>
        <w:t xml:space="preserve">Contribución de autores </w:t>
      </w:r>
    </w:p>
    <w:p w14:paraId="564E280A" w14:textId="77777777" w:rsidR="007B246A" w:rsidRPr="009A2CF2" w:rsidRDefault="00A90D11" w:rsidP="006D70E1">
      <w:pPr>
        <w:spacing w:after="360" w:line="240" w:lineRule="auto"/>
        <w:rPr>
          <w:rFonts w:ascii="Book Antiqua" w:hAnsi="Book Antiqua"/>
          <w:sz w:val="20"/>
        </w:rPr>
      </w:pPr>
      <w:r>
        <w:rPr>
          <w:rFonts w:ascii="Book Antiqua" w:hAnsi="Book Antiqua"/>
          <w:sz w:val="20"/>
        </w:rPr>
        <w:t>Los autores declaran</w:t>
      </w:r>
      <w:r w:rsidR="00C91700" w:rsidRPr="00C91700">
        <w:rPr>
          <w:rFonts w:ascii="Book Antiqua" w:hAnsi="Book Antiqua"/>
          <w:sz w:val="20"/>
        </w:rPr>
        <w:t xml:space="preserve"> haber realizado todas las etapas de la investigación y redacción del </w:t>
      </w:r>
      <w:r w:rsidR="00C91700" w:rsidRPr="009A2CF2">
        <w:rPr>
          <w:rFonts w:ascii="Book Antiqua" w:hAnsi="Book Antiqua"/>
          <w:sz w:val="20"/>
        </w:rPr>
        <w:t>manuscrito</w:t>
      </w:r>
      <w:r w:rsidR="00902839" w:rsidRPr="009A2CF2">
        <w:rPr>
          <w:rFonts w:ascii="Book Antiqua" w:hAnsi="Book Antiqua"/>
          <w:sz w:val="20"/>
        </w:rPr>
        <w:t>.</w:t>
      </w:r>
    </w:p>
    <w:p w14:paraId="6BB0AB11" w14:textId="7AF14205" w:rsidR="0047413E" w:rsidRDefault="0029788C" w:rsidP="0047413E">
      <w:pPr>
        <w:pStyle w:val="Ttulo2"/>
        <w:spacing w:before="240" w:after="120"/>
        <w:rPr>
          <w:rFonts w:ascii="Book Antiqua" w:hAnsi="Book Antiqua"/>
          <w:lang w:val="pt-BR"/>
        </w:rPr>
      </w:pPr>
      <w:r w:rsidRPr="004E3F2C">
        <w:rPr>
          <w:rFonts w:ascii="Book Antiqua" w:hAnsi="Book Antiqua"/>
          <w:lang w:val="pt-BR"/>
        </w:rPr>
        <w:t>Referencias bibliográficas</w:t>
      </w:r>
    </w:p>
    <w:p w14:paraId="43B2908A" w14:textId="4A344A26"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2B6A0E">
        <w:rPr>
          <w:rFonts w:ascii="Book Antiqua" w:hAnsi="Book Antiqua"/>
          <w:sz w:val="20"/>
          <w:szCs w:val="18"/>
          <w:lang w:val="pt-BR"/>
        </w:rPr>
        <w:fldChar w:fldCharType="begin" w:fldLock="1"/>
      </w:r>
      <w:r w:rsidRPr="002B6A0E">
        <w:rPr>
          <w:rFonts w:ascii="Book Antiqua" w:hAnsi="Book Antiqua"/>
          <w:sz w:val="20"/>
          <w:szCs w:val="18"/>
          <w:lang w:val="pt-BR"/>
        </w:rPr>
        <w:instrText xml:space="preserve">ADDIN Mendeley Bibliography CSL_BIBLIOGRAPHY </w:instrText>
      </w:r>
      <w:r w:rsidRPr="002B6A0E">
        <w:rPr>
          <w:rFonts w:ascii="Book Antiqua" w:hAnsi="Book Antiqua"/>
          <w:sz w:val="20"/>
          <w:szCs w:val="18"/>
          <w:lang w:val="pt-BR"/>
        </w:rPr>
        <w:fldChar w:fldCharType="separate"/>
      </w:r>
      <w:r w:rsidRPr="002B6A0E">
        <w:rPr>
          <w:rFonts w:ascii="Book Antiqua" w:hAnsi="Book Antiqua"/>
          <w:noProof/>
          <w:sz w:val="20"/>
          <w:szCs w:val="20"/>
        </w:rPr>
        <w:t xml:space="preserve">Barrett, A. K., Ford, J., &amp; Zhu, Y. (2023). </w:t>
      </w:r>
      <w:r w:rsidRPr="00CF74CE">
        <w:rPr>
          <w:rFonts w:ascii="Book Antiqua" w:hAnsi="Book Antiqua"/>
          <w:noProof/>
          <w:sz w:val="20"/>
          <w:szCs w:val="20"/>
          <w:lang w:val="en-US"/>
        </w:rPr>
        <w:t xml:space="preserve">Communication Overload in Hospitals: Exploring Organizational Safety Communication, Worker Job Attitudes, and Communication Efficacy. </w:t>
      </w:r>
      <w:r w:rsidRPr="00CF74CE">
        <w:rPr>
          <w:rFonts w:ascii="Book Antiqua" w:hAnsi="Book Antiqua"/>
          <w:i/>
          <w:iCs/>
          <w:noProof/>
          <w:sz w:val="20"/>
          <w:szCs w:val="20"/>
          <w:lang w:val="en-US"/>
        </w:rPr>
        <w:t>Health Communication</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38</w:t>
      </w:r>
      <w:r w:rsidRPr="00CF74CE">
        <w:rPr>
          <w:rFonts w:ascii="Book Antiqua" w:hAnsi="Book Antiqua"/>
          <w:noProof/>
          <w:sz w:val="20"/>
          <w:szCs w:val="20"/>
          <w:lang w:val="en-US"/>
        </w:rPr>
        <w:t>(13), 2971–2985. https://doi.org/10.1080/10410236.2022.2129313</w:t>
      </w:r>
    </w:p>
    <w:p w14:paraId="345FE5E9"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Candeias, A. A. (2025). Emotional Intelligence in Portuguese Youth: Age and Gender Differences. </w:t>
      </w:r>
      <w:r w:rsidRPr="00CF74CE">
        <w:rPr>
          <w:rFonts w:ascii="Book Antiqua" w:hAnsi="Book Antiqua"/>
          <w:i/>
          <w:iCs/>
          <w:noProof/>
          <w:sz w:val="20"/>
          <w:szCs w:val="20"/>
          <w:lang w:val="en-US"/>
        </w:rPr>
        <w:t>Journal of Intelligence</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13</w:t>
      </w:r>
      <w:r w:rsidRPr="00CF74CE">
        <w:rPr>
          <w:rFonts w:ascii="Book Antiqua" w:hAnsi="Book Antiqua"/>
          <w:noProof/>
          <w:sz w:val="20"/>
          <w:szCs w:val="20"/>
          <w:lang w:val="en-US"/>
        </w:rPr>
        <w:t>(4). https://doi.org/10.3390/jintelligence13040048</w:t>
      </w:r>
    </w:p>
    <w:p w14:paraId="5E03E513"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Chaudry, A., Hussain, P. M., Halari, S., Thakor, S., Sivapalan, A., Ikar, A., Okhiria, T., &amp; Meyer, E. (2024). What Is the Impact of Leaders with Emotional Intelligence on Proxy Performance Metrics in 21st Century Healthcare?—A Systematic Literature Review. </w:t>
      </w:r>
      <w:r w:rsidRPr="00CF74CE">
        <w:rPr>
          <w:rFonts w:ascii="Book Antiqua" w:hAnsi="Book Antiqua"/>
          <w:i/>
          <w:iCs/>
          <w:noProof/>
          <w:sz w:val="20"/>
          <w:szCs w:val="20"/>
          <w:lang w:val="en-US"/>
        </w:rPr>
        <w:t>International Journal of Environmental Research and Public Health</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21</w:t>
      </w:r>
      <w:r w:rsidRPr="00CF74CE">
        <w:rPr>
          <w:rFonts w:ascii="Book Antiqua" w:hAnsi="Book Antiqua"/>
          <w:noProof/>
          <w:sz w:val="20"/>
          <w:szCs w:val="20"/>
          <w:lang w:val="en-US"/>
        </w:rPr>
        <w:t>(11). https://doi.org/10.3390/ijerph21111531</w:t>
      </w:r>
    </w:p>
    <w:p w14:paraId="5677E40A"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Cichoń, J., Płaszewska-Żywko, L., &amp; Kózka, M. (2023). Emotional intelligence and coping strategies among intensive care unit nurses. </w:t>
      </w:r>
      <w:r w:rsidRPr="00CF74CE">
        <w:rPr>
          <w:rFonts w:ascii="Book Antiqua" w:hAnsi="Book Antiqua"/>
          <w:i/>
          <w:iCs/>
          <w:noProof/>
          <w:sz w:val="20"/>
          <w:szCs w:val="20"/>
          <w:lang w:val="en-US"/>
        </w:rPr>
        <w:t>Nursing in Critical Care</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28</w:t>
      </w:r>
      <w:r w:rsidRPr="00CF74CE">
        <w:rPr>
          <w:rFonts w:ascii="Book Antiqua" w:hAnsi="Book Antiqua"/>
          <w:noProof/>
          <w:sz w:val="20"/>
          <w:szCs w:val="20"/>
          <w:lang w:val="en-US"/>
        </w:rPr>
        <w:t>(2), 322–328. https://doi.org/10.1111/nicc.12839</w:t>
      </w:r>
    </w:p>
    <w:p w14:paraId="5074412D"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Darcho, S. D., Ayele, B. H., Demena, M., Firdisa, D., Shawel, S., &amp; Berhanu, A. (2024). </w:t>
      </w:r>
      <w:r w:rsidRPr="00CF74CE">
        <w:rPr>
          <w:rFonts w:ascii="Book Antiqua" w:hAnsi="Book Antiqua"/>
          <w:noProof/>
          <w:sz w:val="20"/>
          <w:szCs w:val="20"/>
          <w:lang w:val="en-US"/>
        </w:rPr>
        <w:lastRenderedPageBreak/>
        <w:t xml:space="preserve">Organizational Communication Skills and Its Associated Factors Among Healthcare Providers Working at Wolaita Sodo Health Facilities, Southern Ethiopia: A Cross-Sectional Study. </w:t>
      </w:r>
      <w:r w:rsidRPr="00CF74CE">
        <w:rPr>
          <w:rFonts w:ascii="Book Antiqua" w:hAnsi="Book Antiqua"/>
          <w:i/>
          <w:iCs/>
          <w:noProof/>
          <w:sz w:val="20"/>
          <w:szCs w:val="20"/>
          <w:lang w:val="en-US"/>
        </w:rPr>
        <w:t>Risk Management and Healthcare Policy</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17</w:t>
      </w:r>
      <w:r w:rsidRPr="00CF74CE">
        <w:rPr>
          <w:rFonts w:ascii="Book Antiqua" w:hAnsi="Book Antiqua"/>
          <w:noProof/>
          <w:sz w:val="20"/>
          <w:szCs w:val="20"/>
          <w:lang w:val="en-US"/>
        </w:rPr>
        <w:t>, 79–88. https://doi.org/10.2147/RMHP.S445682</w:t>
      </w:r>
    </w:p>
    <w:p w14:paraId="16F54A9E"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CF74CE">
        <w:rPr>
          <w:rFonts w:ascii="Book Antiqua" w:hAnsi="Book Antiqua"/>
          <w:noProof/>
          <w:sz w:val="20"/>
          <w:szCs w:val="20"/>
          <w:lang w:val="en-US"/>
        </w:rPr>
        <w:t xml:space="preserve">Diamantidou, V., Fradelos, E. C., Kalokairinou, A., Kaitelidou, D., &amp; Galanis, P. (2025). Comparing predictors of emotional intelligence among medical and nursing staff in national health system and military hospitals: A cross-sectional study in Greece. </w:t>
      </w:r>
      <w:r w:rsidRPr="002B6A0E">
        <w:rPr>
          <w:rFonts w:ascii="Book Antiqua" w:hAnsi="Book Antiqua"/>
          <w:i/>
          <w:iCs/>
          <w:noProof/>
          <w:sz w:val="20"/>
          <w:szCs w:val="20"/>
        </w:rPr>
        <w:t>AIMS Public Health</w:t>
      </w:r>
      <w:r w:rsidRPr="002B6A0E">
        <w:rPr>
          <w:rFonts w:ascii="Book Antiqua" w:hAnsi="Book Antiqua"/>
          <w:noProof/>
          <w:sz w:val="20"/>
          <w:szCs w:val="20"/>
        </w:rPr>
        <w:t xml:space="preserve">, </w:t>
      </w:r>
      <w:r w:rsidRPr="002B6A0E">
        <w:rPr>
          <w:rFonts w:ascii="Book Antiqua" w:hAnsi="Book Antiqua"/>
          <w:i/>
          <w:iCs/>
          <w:noProof/>
          <w:sz w:val="20"/>
          <w:szCs w:val="20"/>
        </w:rPr>
        <w:t>12</w:t>
      </w:r>
      <w:r w:rsidRPr="002B6A0E">
        <w:rPr>
          <w:rFonts w:ascii="Book Antiqua" w:hAnsi="Book Antiqua"/>
          <w:noProof/>
          <w:sz w:val="20"/>
          <w:szCs w:val="20"/>
        </w:rPr>
        <w:t>(3), 657–674. https://doi.org/10.3934/publichealth.2025034</w:t>
      </w:r>
    </w:p>
    <w:p w14:paraId="5B3C5F1F"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Fernández García, M. P., Méndez-Valdivia, M., &amp; Antonio Labra, J. (2025). </w:t>
      </w:r>
      <w:r w:rsidRPr="00CF74CE">
        <w:rPr>
          <w:rFonts w:ascii="Book Antiqua" w:hAnsi="Book Antiqua"/>
          <w:noProof/>
          <w:sz w:val="20"/>
          <w:szCs w:val="20"/>
          <w:lang w:val="en-US"/>
        </w:rPr>
        <w:t xml:space="preserve">Psychometric properties and validation of the EQ-I:S five factor questionary of emotional intelligence (Baron-On, 2002) in Spanish university students. </w:t>
      </w:r>
      <w:r w:rsidRPr="002B6A0E">
        <w:rPr>
          <w:rFonts w:ascii="Book Antiqua" w:hAnsi="Book Antiqua"/>
          <w:i/>
          <w:iCs/>
          <w:noProof/>
          <w:sz w:val="20"/>
          <w:szCs w:val="20"/>
        </w:rPr>
        <w:t>Revista de Investigacion En Educacion</w:t>
      </w:r>
      <w:r w:rsidRPr="002B6A0E">
        <w:rPr>
          <w:rFonts w:ascii="Book Antiqua" w:hAnsi="Book Antiqua"/>
          <w:noProof/>
          <w:sz w:val="20"/>
          <w:szCs w:val="20"/>
        </w:rPr>
        <w:t xml:space="preserve">, </w:t>
      </w:r>
      <w:r w:rsidRPr="002B6A0E">
        <w:rPr>
          <w:rFonts w:ascii="Book Antiqua" w:hAnsi="Book Antiqua"/>
          <w:i/>
          <w:iCs/>
          <w:noProof/>
          <w:sz w:val="20"/>
          <w:szCs w:val="20"/>
        </w:rPr>
        <w:t>23</w:t>
      </w:r>
      <w:r w:rsidRPr="002B6A0E">
        <w:rPr>
          <w:rFonts w:ascii="Book Antiqua" w:hAnsi="Book Antiqua"/>
          <w:noProof/>
          <w:sz w:val="20"/>
          <w:szCs w:val="20"/>
        </w:rPr>
        <w:t>(1), 42–60. https://doi.org/10.35869/reined.v23i1.6108</w:t>
      </w:r>
    </w:p>
    <w:p w14:paraId="361A0C4B"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2B6A0E">
        <w:rPr>
          <w:rFonts w:ascii="Book Antiqua" w:hAnsi="Book Antiqua"/>
          <w:noProof/>
          <w:sz w:val="20"/>
          <w:szCs w:val="20"/>
        </w:rPr>
        <w:t xml:space="preserve">Ghrayeb, F., Zaben, K., Haddad, R. H., Ghrayeb, N., Barhoush, M., Zuraikat, N., &amp; Abuejheisheh, A. J. (2025). </w:t>
      </w:r>
      <w:r w:rsidRPr="00CF74CE">
        <w:rPr>
          <w:rFonts w:ascii="Book Antiqua" w:hAnsi="Book Antiqua"/>
          <w:noProof/>
          <w:sz w:val="20"/>
          <w:szCs w:val="20"/>
          <w:lang w:val="en-US"/>
        </w:rPr>
        <w:t xml:space="preserve">Exploring the relationship between emotional intelligence and communication skills in nurses: a cross-sectional study. </w:t>
      </w:r>
      <w:r w:rsidRPr="00CF74CE">
        <w:rPr>
          <w:rFonts w:ascii="Book Antiqua" w:hAnsi="Book Antiqua"/>
          <w:i/>
          <w:iCs/>
          <w:noProof/>
          <w:sz w:val="20"/>
          <w:szCs w:val="20"/>
          <w:lang w:val="en-US"/>
        </w:rPr>
        <w:t>BMC Nursing</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24</w:t>
      </w:r>
      <w:r w:rsidRPr="00CF74CE">
        <w:rPr>
          <w:rFonts w:ascii="Book Antiqua" w:hAnsi="Book Antiqua"/>
          <w:noProof/>
          <w:sz w:val="20"/>
          <w:szCs w:val="20"/>
          <w:lang w:val="en-US"/>
        </w:rPr>
        <w:t>(1). https://doi.org/10.1186/s12912-025-03679-5</w:t>
      </w:r>
    </w:p>
    <w:p w14:paraId="20565F88"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Hathaway, J. R., Tarini, B. A., Banerjee, S., Smolkin, C. O., Koos, J. A., &amp; Pati, S. (2023). Healthcare team communication training in the United States: A scoping review. </w:t>
      </w:r>
      <w:r w:rsidRPr="00CF74CE">
        <w:rPr>
          <w:rFonts w:ascii="Book Antiqua" w:hAnsi="Book Antiqua"/>
          <w:i/>
          <w:iCs/>
          <w:noProof/>
          <w:sz w:val="20"/>
          <w:szCs w:val="20"/>
          <w:lang w:val="en-US"/>
        </w:rPr>
        <w:t>Health Communication</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38</w:t>
      </w:r>
      <w:r w:rsidRPr="00CF74CE">
        <w:rPr>
          <w:rFonts w:ascii="Book Antiqua" w:hAnsi="Book Antiqua"/>
          <w:noProof/>
          <w:sz w:val="20"/>
          <w:szCs w:val="20"/>
          <w:lang w:val="en-US"/>
        </w:rPr>
        <w:t>(9), 1821–1846. https://doi.org/10.1080/10410236.2022.2036439</w:t>
      </w:r>
    </w:p>
    <w:p w14:paraId="2C9BA66B"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He, Q., Ye, Y., Liang, J., &amp; Zheng, B. (2026). The relationship between emotional intelligence and resilience in healthcare practitioners and students: a multilevel meta-analysis. </w:t>
      </w:r>
      <w:r w:rsidRPr="00CF74CE">
        <w:rPr>
          <w:rFonts w:ascii="Book Antiqua" w:hAnsi="Book Antiqua"/>
          <w:i/>
          <w:iCs/>
          <w:noProof/>
          <w:sz w:val="20"/>
          <w:szCs w:val="20"/>
          <w:lang w:val="en-US"/>
        </w:rPr>
        <w:t>BMC Medical Education</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26</w:t>
      </w:r>
      <w:r w:rsidRPr="00CF74CE">
        <w:rPr>
          <w:rFonts w:ascii="Book Antiqua" w:hAnsi="Book Antiqua"/>
          <w:noProof/>
          <w:sz w:val="20"/>
          <w:szCs w:val="20"/>
          <w:lang w:val="en-US"/>
        </w:rPr>
        <w:t>(1). https://doi.org/10.1186/s12909-026-08619-8</w:t>
      </w:r>
    </w:p>
    <w:p w14:paraId="6A4C31AF"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Horne, M. J., Allbright, M., Galbraith, D. A., &amp; Patel, A. (2024). Emotional Intelligence in Medicine: An Investigation of the Significance for Physicians, Residents, and Medical Students – A Systematic Review. </w:t>
      </w:r>
      <w:r w:rsidRPr="00CF74CE">
        <w:rPr>
          <w:rFonts w:ascii="Book Antiqua" w:hAnsi="Book Antiqua"/>
          <w:i/>
          <w:iCs/>
          <w:noProof/>
          <w:sz w:val="20"/>
          <w:szCs w:val="20"/>
          <w:lang w:val="en-US"/>
        </w:rPr>
        <w:t>Journal of Surgical Education</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81</w:t>
      </w:r>
      <w:r w:rsidRPr="00CF74CE">
        <w:rPr>
          <w:rFonts w:ascii="Book Antiqua" w:hAnsi="Book Antiqua"/>
          <w:noProof/>
          <w:sz w:val="20"/>
          <w:szCs w:val="20"/>
          <w:lang w:val="en-US"/>
        </w:rPr>
        <w:t>(12). https://doi.org/10.1016/j.jsurg.2024.103307</w:t>
      </w:r>
    </w:p>
    <w:p w14:paraId="081AE61D"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Johnson, N. L., &amp; Moeckli, J. (2024). Conceptualizations of interprofessional communication in intensive care units: findings from a scoping review. </w:t>
      </w:r>
      <w:r w:rsidRPr="00CF74CE">
        <w:rPr>
          <w:rFonts w:ascii="Book Antiqua" w:hAnsi="Book Antiqua"/>
          <w:i/>
          <w:iCs/>
          <w:noProof/>
          <w:sz w:val="20"/>
          <w:szCs w:val="20"/>
          <w:lang w:val="en-US"/>
        </w:rPr>
        <w:t>Journal of Communication in Healthcare</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17</w:t>
      </w:r>
      <w:r w:rsidRPr="00CF74CE">
        <w:rPr>
          <w:rFonts w:ascii="Book Antiqua" w:hAnsi="Book Antiqua"/>
          <w:noProof/>
          <w:sz w:val="20"/>
          <w:szCs w:val="20"/>
          <w:lang w:val="en-US"/>
        </w:rPr>
        <w:t>(2), 130–142. https://doi.org/10.1080/17538068.2023.2297124</w:t>
      </w:r>
    </w:p>
    <w:p w14:paraId="0AFA8A5B"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Jovanović, A., Drobac, M., Vidović, B., Krajnović, D., Pavlović, D., &amp; Tadić, I. (2026). Development and initial content and face validation of a questionnaire to evaluate pharmacists’ attitudes and practices in counselling urinary tract infection patients: A mixed methods study. </w:t>
      </w:r>
      <w:r w:rsidRPr="00CF74CE">
        <w:rPr>
          <w:rFonts w:ascii="Book Antiqua" w:hAnsi="Book Antiqua"/>
          <w:i/>
          <w:iCs/>
          <w:noProof/>
          <w:sz w:val="20"/>
          <w:szCs w:val="20"/>
          <w:lang w:val="en-US"/>
        </w:rPr>
        <w:t>Exploratory Research in Clinical and Social Pharmacy</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21</w:t>
      </w:r>
      <w:r w:rsidRPr="00CF74CE">
        <w:rPr>
          <w:rFonts w:ascii="Book Antiqua" w:hAnsi="Book Antiqua"/>
          <w:noProof/>
          <w:sz w:val="20"/>
          <w:szCs w:val="20"/>
          <w:lang w:val="en-US"/>
        </w:rPr>
        <w:t>. https://doi.org/10.1016/j.rcsop.2025.100702</w:t>
      </w:r>
    </w:p>
    <w:p w14:paraId="489A71CA"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Kang, Y., &amp; Kim, J.-H. (2024). Influence of Emotional Intelligence of Experienced Nurses on Nursing Managerial Competence: Focusing on the Mediating Effect of Communication Competence. </w:t>
      </w:r>
      <w:r w:rsidRPr="00CF74CE">
        <w:rPr>
          <w:rFonts w:ascii="Book Antiqua" w:hAnsi="Book Antiqua"/>
          <w:i/>
          <w:iCs/>
          <w:noProof/>
          <w:sz w:val="20"/>
          <w:szCs w:val="20"/>
          <w:lang w:val="en-US"/>
        </w:rPr>
        <w:t>Journal of Korean Academy of Nursing Administration</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30</w:t>
      </w:r>
      <w:r w:rsidRPr="00CF74CE">
        <w:rPr>
          <w:rFonts w:ascii="Book Antiqua" w:hAnsi="Book Antiqua"/>
          <w:noProof/>
          <w:sz w:val="20"/>
          <w:szCs w:val="20"/>
          <w:lang w:val="en-US"/>
        </w:rPr>
        <w:t>(1), 79–90. https://doi.org/10.11111/jkana.2024.30.1.79</w:t>
      </w:r>
    </w:p>
    <w:p w14:paraId="680C3D14"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Kawashima, T., Ota, Y., Aikawa, G., Watanabe, M., Ashida, K., &amp; Sakuramoto, H. (2025). Effectiveness of emotional intelligence training on nurses’ and nursing students’ emotional intelligence, resilience, stress, and communication skills: a systematic review and meta-analysis. </w:t>
      </w:r>
      <w:r w:rsidRPr="00CF74CE">
        <w:rPr>
          <w:rFonts w:ascii="Book Antiqua" w:hAnsi="Book Antiqua"/>
          <w:i/>
          <w:iCs/>
          <w:noProof/>
          <w:sz w:val="20"/>
          <w:szCs w:val="20"/>
          <w:lang w:val="en-US"/>
        </w:rPr>
        <w:t>Nurse Education Today</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151</w:t>
      </w:r>
      <w:r w:rsidRPr="00CF74CE">
        <w:rPr>
          <w:rFonts w:ascii="Book Antiqua" w:hAnsi="Book Antiqua"/>
          <w:noProof/>
          <w:sz w:val="20"/>
          <w:szCs w:val="20"/>
          <w:lang w:val="en-US"/>
        </w:rPr>
        <w:t>. https://doi.org/10.1016/j.nedt.2025.106743</w:t>
      </w:r>
    </w:p>
    <w:p w14:paraId="38901B48"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Kosydar-Bochenek, J., Kobak, J., Szczupak, M., Będkowski, J. H., &amp; Krupa-Nurcek, S. (2026). Delivering bad news in clinical practice: the role of communication skills and emotional intelligence among Polish healthcare professionals. </w:t>
      </w:r>
      <w:r w:rsidRPr="00CF74CE">
        <w:rPr>
          <w:rFonts w:ascii="Book Antiqua" w:hAnsi="Book Antiqua"/>
          <w:i/>
          <w:iCs/>
          <w:noProof/>
          <w:sz w:val="20"/>
          <w:szCs w:val="20"/>
          <w:lang w:val="en-US"/>
        </w:rPr>
        <w:t>BMC Medical Education</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26</w:t>
      </w:r>
      <w:r w:rsidRPr="00CF74CE">
        <w:rPr>
          <w:rFonts w:ascii="Book Antiqua" w:hAnsi="Book Antiqua"/>
          <w:noProof/>
          <w:sz w:val="20"/>
          <w:szCs w:val="20"/>
          <w:lang w:val="en-US"/>
        </w:rPr>
        <w:t>(1). https://doi.org/10.1186/s12909-025-08222-3</w:t>
      </w:r>
    </w:p>
    <w:p w14:paraId="0B736C08"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Lee, D. G., &amp; Choi, M.-Y. (2023). Effects of Emotional Intelligence on Job Satisfaction of Pediatric Nurses: The Mediating Effect of Communication Skills and Pediatric Nurse-Parent </w:t>
      </w:r>
      <w:r w:rsidRPr="00CF74CE">
        <w:rPr>
          <w:rFonts w:ascii="Book Antiqua" w:hAnsi="Book Antiqua"/>
          <w:noProof/>
          <w:sz w:val="20"/>
          <w:szCs w:val="20"/>
          <w:lang w:val="en-US"/>
        </w:rPr>
        <w:lastRenderedPageBreak/>
        <w:t xml:space="preserve">Partnership. </w:t>
      </w:r>
      <w:r w:rsidRPr="00CF74CE">
        <w:rPr>
          <w:rFonts w:ascii="Book Antiqua" w:hAnsi="Book Antiqua"/>
          <w:i/>
          <w:iCs/>
          <w:noProof/>
          <w:sz w:val="20"/>
          <w:szCs w:val="20"/>
          <w:lang w:val="en-US"/>
        </w:rPr>
        <w:t>Journal of Korean Academy of Nursing</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53</w:t>
      </w:r>
      <w:r w:rsidRPr="00CF74CE">
        <w:rPr>
          <w:rFonts w:ascii="Book Antiqua" w:hAnsi="Book Antiqua"/>
          <w:noProof/>
          <w:sz w:val="20"/>
          <w:szCs w:val="20"/>
          <w:lang w:val="en-US"/>
        </w:rPr>
        <w:t>(5), 514–524. https://doi.org/10.4040/jkan.23044</w:t>
      </w:r>
    </w:p>
    <w:p w14:paraId="66041E55"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McHugh, G. S., Butcher, I., Steyerberg, E. W., Lu, J., Mushkudiani, N., Mabmarou, A., Maas, A. I. R., &amp; Murray, G. D. (2007). Statistical approaches to the univariate prognostic analysis of the IMPACT database on traumatic brain injury. </w:t>
      </w:r>
      <w:r w:rsidRPr="00CF74CE">
        <w:rPr>
          <w:rFonts w:ascii="Book Antiqua" w:hAnsi="Book Antiqua"/>
          <w:i/>
          <w:iCs/>
          <w:noProof/>
          <w:sz w:val="20"/>
          <w:szCs w:val="20"/>
          <w:lang w:val="en-US"/>
        </w:rPr>
        <w:t>Journal of Neurotrauma</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24</w:t>
      </w:r>
      <w:r w:rsidRPr="00CF74CE">
        <w:rPr>
          <w:rFonts w:ascii="Book Antiqua" w:hAnsi="Book Antiqua"/>
          <w:noProof/>
          <w:sz w:val="20"/>
          <w:szCs w:val="20"/>
          <w:lang w:val="en-US"/>
        </w:rPr>
        <w:t>(2), 251–258. https://doi.org/10.1089/neu.2006.0026</w:t>
      </w:r>
    </w:p>
    <w:p w14:paraId="470CA242"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Mohammed, A. H., Ying, L. H., Boon Hong, M. L., Sze Nee, A. W., Ying, L. S., Ramachandram, D. S., &amp; Hassan, B. A. (2024). Development and validation of a knowledge, attitude, and practice (KAP) questionnaire for skin cancer in the general public: KAP-SC-Q. </w:t>
      </w:r>
      <w:r w:rsidRPr="00CF74CE">
        <w:rPr>
          <w:rFonts w:ascii="Book Antiqua" w:hAnsi="Book Antiqua"/>
          <w:i/>
          <w:iCs/>
          <w:noProof/>
          <w:sz w:val="20"/>
          <w:szCs w:val="20"/>
          <w:lang w:val="en-US"/>
        </w:rPr>
        <w:t>Research in Social and Administrative Pharmacy</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20</w:t>
      </w:r>
      <w:r w:rsidRPr="00CF74CE">
        <w:rPr>
          <w:rFonts w:ascii="Book Antiqua" w:hAnsi="Book Antiqua"/>
          <w:noProof/>
          <w:sz w:val="20"/>
          <w:szCs w:val="20"/>
          <w:lang w:val="en-US"/>
        </w:rPr>
        <w:t>(2), 124–136. https://doi.org/10.1016/j.sapharm.2023.10.009</w:t>
      </w:r>
    </w:p>
    <w:p w14:paraId="4AB98FB9"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it-IT"/>
        </w:rPr>
        <w:t xml:space="preserve">Moreira, M. T., Lima, A., Ferreira, S., &amp; Fernandes, C. (2026). </w:t>
      </w:r>
      <w:r w:rsidRPr="00CF74CE">
        <w:rPr>
          <w:rFonts w:ascii="Book Antiqua" w:hAnsi="Book Antiqua"/>
          <w:noProof/>
          <w:sz w:val="20"/>
          <w:szCs w:val="20"/>
          <w:lang w:val="en-US"/>
        </w:rPr>
        <w:t xml:space="preserve">Emotional management, empathy and emotional intelligence in mental health nursing: Educational insights from a scoping review. </w:t>
      </w:r>
      <w:r w:rsidRPr="00CF74CE">
        <w:rPr>
          <w:rFonts w:ascii="Book Antiqua" w:hAnsi="Book Antiqua"/>
          <w:i/>
          <w:iCs/>
          <w:noProof/>
          <w:sz w:val="20"/>
          <w:szCs w:val="20"/>
          <w:lang w:val="en-US"/>
        </w:rPr>
        <w:t>Nurse Education in Practice</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92</w:t>
      </w:r>
      <w:r w:rsidRPr="00CF74CE">
        <w:rPr>
          <w:rFonts w:ascii="Book Antiqua" w:hAnsi="Book Antiqua"/>
          <w:noProof/>
          <w:sz w:val="20"/>
          <w:szCs w:val="20"/>
          <w:lang w:val="en-US"/>
        </w:rPr>
        <w:t>. https://doi.org/10.1016/j.nepr.2026.104776</w:t>
      </w:r>
    </w:p>
    <w:p w14:paraId="4BCB8C90" w14:textId="77777777" w:rsidR="002B6A0E" w:rsidRPr="00CF74C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lang w:val="en-US"/>
        </w:rPr>
      </w:pPr>
      <w:r w:rsidRPr="00CF74CE">
        <w:rPr>
          <w:rFonts w:ascii="Book Antiqua" w:hAnsi="Book Antiqua"/>
          <w:noProof/>
          <w:sz w:val="20"/>
          <w:szCs w:val="20"/>
          <w:lang w:val="en-US"/>
        </w:rPr>
        <w:t xml:space="preserve">Musitia, P., Boga, M., Oluoch, D., Haaland, A., Nzinga, J., English, M., &amp; Molyneux, S. (2022). Strengthening respectful communication with patients and colleagues in neonatal units — developing and evaluating a communication and emotional competence training for nurse managers in Kenya. </w:t>
      </w:r>
      <w:r w:rsidRPr="00CF74CE">
        <w:rPr>
          <w:rFonts w:ascii="Book Antiqua" w:hAnsi="Book Antiqua"/>
          <w:i/>
          <w:iCs/>
          <w:noProof/>
          <w:sz w:val="20"/>
          <w:szCs w:val="20"/>
          <w:lang w:val="en-US"/>
        </w:rPr>
        <w:t>Wellcome Open Research</w:t>
      </w:r>
      <w:r w:rsidRPr="00CF74CE">
        <w:rPr>
          <w:rFonts w:ascii="Book Antiqua" w:hAnsi="Book Antiqua"/>
          <w:noProof/>
          <w:sz w:val="20"/>
          <w:szCs w:val="20"/>
          <w:lang w:val="en-US"/>
        </w:rPr>
        <w:t xml:space="preserve">, </w:t>
      </w:r>
      <w:r w:rsidRPr="00CF74CE">
        <w:rPr>
          <w:rFonts w:ascii="Book Antiqua" w:hAnsi="Book Antiqua"/>
          <w:i/>
          <w:iCs/>
          <w:noProof/>
          <w:sz w:val="20"/>
          <w:szCs w:val="20"/>
          <w:lang w:val="en-US"/>
        </w:rPr>
        <w:t>7</w:t>
      </w:r>
      <w:r w:rsidRPr="00CF74CE">
        <w:rPr>
          <w:rFonts w:ascii="Book Antiqua" w:hAnsi="Book Antiqua"/>
          <w:noProof/>
          <w:sz w:val="20"/>
          <w:szCs w:val="20"/>
          <w:lang w:val="en-US"/>
        </w:rPr>
        <w:t>. https://doi.org/10.12688/wellcomeopenres.18006.1</w:t>
      </w:r>
    </w:p>
    <w:p w14:paraId="5ADC60C7"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CF74CE">
        <w:rPr>
          <w:rFonts w:ascii="Book Antiqua" w:hAnsi="Book Antiqua"/>
          <w:noProof/>
          <w:sz w:val="20"/>
          <w:szCs w:val="20"/>
          <w:lang w:val="en-US"/>
        </w:rPr>
        <w:t xml:space="preserve">Pirrotta, L., Ferrari, A., Cantarelli, P., &amp; Belle, N. (2024). Communication and job satisfaction among public employees: evidence from large-scale surveys with healthcare professionals. </w:t>
      </w:r>
      <w:r w:rsidRPr="002B6A0E">
        <w:rPr>
          <w:rFonts w:ascii="Book Antiqua" w:hAnsi="Book Antiqua"/>
          <w:i/>
          <w:iCs/>
          <w:noProof/>
          <w:sz w:val="20"/>
          <w:szCs w:val="20"/>
        </w:rPr>
        <w:t>International Journal of Public Sector Management</w:t>
      </w:r>
      <w:r w:rsidRPr="002B6A0E">
        <w:rPr>
          <w:rFonts w:ascii="Book Antiqua" w:hAnsi="Book Antiqua"/>
          <w:noProof/>
          <w:sz w:val="20"/>
          <w:szCs w:val="20"/>
        </w:rPr>
        <w:t>. https://doi.org/10.1108/IJPSM-07-2024-0222</w:t>
      </w:r>
    </w:p>
    <w:p w14:paraId="5379A4C8"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Rezaee, R., Zare, S., Niknam, F., Akbari, A., Shirdeli, M., Falahati, F., &amp; Aghajani, S. (2022). Contributing Factors in Hospital Internal Communication based on Hospital Managers and Healthcare Personnel’s Attitudes: A Qualitative Study. </w:t>
      </w:r>
      <w:r w:rsidRPr="002B6A0E">
        <w:rPr>
          <w:rFonts w:ascii="Book Antiqua" w:hAnsi="Book Antiqua"/>
          <w:i/>
          <w:iCs/>
          <w:noProof/>
          <w:sz w:val="20"/>
          <w:szCs w:val="20"/>
        </w:rPr>
        <w:t>Journal of Health Sciences and Surveillance System</w:t>
      </w:r>
      <w:r w:rsidRPr="002B6A0E">
        <w:rPr>
          <w:rFonts w:ascii="Book Antiqua" w:hAnsi="Book Antiqua"/>
          <w:noProof/>
          <w:sz w:val="20"/>
          <w:szCs w:val="20"/>
        </w:rPr>
        <w:t xml:space="preserve">, </w:t>
      </w:r>
      <w:r w:rsidRPr="002B6A0E">
        <w:rPr>
          <w:rFonts w:ascii="Book Antiqua" w:hAnsi="Book Antiqua"/>
          <w:i/>
          <w:iCs/>
          <w:noProof/>
          <w:sz w:val="20"/>
          <w:szCs w:val="20"/>
        </w:rPr>
        <w:t>10</w:t>
      </w:r>
      <w:r w:rsidRPr="002B6A0E">
        <w:rPr>
          <w:rFonts w:ascii="Book Antiqua" w:hAnsi="Book Antiqua"/>
          <w:noProof/>
          <w:sz w:val="20"/>
          <w:szCs w:val="20"/>
        </w:rPr>
        <w:t>(3), 342–350. https://doi.org/10.30476/jhsss.2021.91998.1278</w:t>
      </w:r>
    </w:p>
    <w:p w14:paraId="7CB37B79"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Roman, A., &amp; Pineiro, A. V. (2023). Nursing Communication Skills Training: Added Importance during Crises. </w:t>
      </w:r>
      <w:r w:rsidRPr="002B6A0E">
        <w:rPr>
          <w:rFonts w:ascii="Book Antiqua" w:hAnsi="Book Antiqua"/>
          <w:i/>
          <w:iCs/>
          <w:noProof/>
          <w:sz w:val="20"/>
          <w:szCs w:val="20"/>
        </w:rPr>
        <w:t>Journal for Nurses in Professional Development</w:t>
      </w:r>
      <w:r w:rsidRPr="002B6A0E">
        <w:rPr>
          <w:rFonts w:ascii="Book Antiqua" w:hAnsi="Book Antiqua"/>
          <w:noProof/>
          <w:sz w:val="20"/>
          <w:szCs w:val="20"/>
        </w:rPr>
        <w:t xml:space="preserve">, </w:t>
      </w:r>
      <w:r w:rsidRPr="002B6A0E">
        <w:rPr>
          <w:rFonts w:ascii="Book Antiqua" w:hAnsi="Book Antiqua"/>
          <w:i/>
          <w:iCs/>
          <w:noProof/>
          <w:sz w:val="20"/>
          <w:szCs w:val="20"/>
        </w:rPr>
        <w:t>39</w:t>
      </w:r>
      <w:r w:rsidRPr="002B6A0E">
        <w:rPr>
          <w:rFonts w:ascii="Book Antiqua" w:hAnsi="Book Antiqua"/>
          <w:noProof/>
          <w:sz w:val="20"/>
          <w:szCs w:val="20"/>
        </w:rPr>
        <w:t>(4), E86–E92. https://doi.org/10.1097/NND.0000000000000868</w:t>
      </w:r>
    </w:p>
    <w:p w14:paraId="0C94C39A"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Saffari, S. E., Löve, A., Fredrikson, M., &amp; Smedby, O. (2015). Regression models for analyzing radiological visual grading studies - an empirical comparison. </w:t>
      </w:r>
      <w:r w:rsidRPr="002B6A0E">
        <w:rPr>
          <w:rFonts w:ascii="Book Antiqua" w:hAnsi="Book Antiqua"/>
          <w:i/>
          <w:iCs/>
          <w:noProof/>
          <w:sz w:val="20"/>
          <w:szCs w:val="20"/>
        </w:rPr>
        <w:t>BMC Medical Imaging</w:t>
      </w:r>
      <w:r w:rsidRPr="002B6A0E">
        <w:rPr>
          <w:rFonts w:ascii="Book Antiqua" w:hAnsi="Book Antiqua"/>
          <w:noProof/>
          <w:sz w:val="20"/>
          <w:szCs w:val="20"/>
        </w:rPr>
        <w:t xml:space="preserve">, </w:t>
      </w:r>
      <w:r w:rsidRPr="002B6A0E">
        <w:rPr>
          <w:rFonts w:ascii="Book Antiqua" w:hAnsi="Book Antiqua"/>
          <w:i/>
          <w:iCs/>
          <w:noProof/>
          <w:sz w:val="20"/>
          <w:szCs w:val="20"/>
        </w:rPr>
        <w:t>15</w:t>
      </w:r>
      <w:r w:rsidRPr="002B6A0E">
        <w:rPr>
          <w:rFonts w:ascii="Book Antiqua" w:hAnsi="Book Antiqua"/>
          <w:noProof/>
          <w:sz w:val="20"/>
          <w:szCs w:val="20"/>
        </w:rPr>
        <w:t>(1). https://doi.org/10.1186/s12880-015-0083-y</w:t>
      </w:r>
    </w:p>
    <w:p w14:paraId="42209B20"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Sanchis-Giménez, L., Lacomba-Trejo, L., Prado-Gascó, V., &amp; Giménez-Espert, M. D. C. (2023). Attitudes towards Communication in Nursing Students and Nurses: Are Social Skills and Emotional Intelligence Important? </w:t>
      </w:r>
      <w:r w:rsidRPr="002B6A0E">
        <w:rPr>
          <w:rFonts w:ascii="Book Antiqua" w:hAnsi="Book Antiqua"/>
          <w:i/>
          <w:iCs/>
          <w:noProof/>
          <w:sz w:val="20"/>
          <w:szCs w:val="20"/>
        </w:rPr>
        <w:t>Healthcare (Switzerland)</w:t>
      </w:r>
      <w:r w:rsidRPr="002B6A0E">
        <w:rPr>
          <w:rFonts w:ascii="Book Antiqua" w:hAnsi="Book Antiqua"/>
          <w:noProof/>
          <w:sz w:val="20"/>
          <w:szCs w:val="20"/>
        </w:rPr>
        <w:t xml:space="preserve">, </w:t>
      </w:r>
      <w:r w:rsidRPr="002B6A0E">
        <w:rPr>
          <w:rFonts w:ascii="Book Antiqua" w:hAnsi="Book Antiqua"/>
          <w:i/>
          <w:iCs/>
          <w:noProof/>
          <w:sz w:val="20"/>
          <w:szCs w:val="20"/>
        </w:rPr>
        <w:t>11</w:t>
      </w:r>
      <w:r w:rsidRPr="002B6A0E">
        <w:rPr>
          <w:rFonts w:ascii="Book Antiqua" w:hAnsi="Book Antiqua"/>
          <w:noProof/>
          <w:sz w:val="20"/>
          <w:szCs w:val="20"/>
        </w:rPr>
        <w:t>(8). https://doi.org/10.3390/healthcare11081119</w:t>
      </w:r>
    </w:p>
    <w:p w14:paraId="77EBEC98"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Song, G., &amp; Kim, O. (2022). Influences of Organizational Communication Satisfaction and Safety Climate on Medication Safety Competence in Hospital Nurse. </w:t>
      </w:r>
      <w:r w:rsidRPr="002B6A0E">
        <w:rPr>
          <w:rFonts w:ascii="Book Antiqua" w:hAnsi="Book Antiqua"/>
          <w:i/>
          <w:iCs/>
          <w:noProof/>
          <w:sz w:val="20"/>
          <w:szCs w:val="20"/>
        </w:rPr>
        <w:t>Journal of Korean Academy of Nursing Administration</w:t>
      </w:r>
      <w:r w:rsidRPr="002B6A0E">
        <w:rPr>
          <w:rFonts w:ascii="Book Antiqua" w:hAnsi="Book Antiqua"/>
          <w:noProof/>
          <w:sz w:val="20"/>
          <w:szCs w:val="20"/>
        </w:rPr>
        <w:t xml:space="preserve">, </w:t>
      </w:r>
      <w:r w:rsidRPr="002B6A0E">
        <w:rPr>
          <w:rFonts w:ascii="Book Antiqua" w:hAnsi="Book Antiqua"/>
          <w:i/>
          <w:iCs/>
          <w:noProof/>
          <w:sz w:val="20"/>
          <w:szCs w:val="20"/>
        </w:rPr>
        <w:t>28</w:t>
      </w:r>
      <w:r w:rsidRPr="002B6A0E">
        <w:rPr>
          <w:rFonts w:ascii="Book Antiqua" w:hAnsi="Book Antiqua"/>
          <w:noProof/>
          <w:sz w:val="20"/>
          <w:szCs w:val="20"/>
        </w:rPr>
        <w:t>(3), 297–306. https://doi.org/10.11111/jkana.2022.28.3.297</w:t>
      </w:r>
    </w:p>
    <w:p w14:paraId="30E0787C"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Sun, Y., Zhang, J., &amp; Shi, B. (2026). Development and Psychometric Validation of a Questionnaire Assessing Gynecologic Oncology Nurses’ Knowledge, Attitude, and Practice in Providing Sexual Health Care. </w:t>
      </w:r>
      <w:r w:rsidRPr="002B6A0E">
        <w:rPr>
          <w:rFonts w:ascii="Book Antiqua" w:hAnsi="Book Antiqua"/>
          <w:i/>
          <w:iCs/>
          <w:noProof/>
          <w:sz w:val="20"/>
          <w:szCs w:val="20"/>
        </w:rPr>
        <w:t>Healthcare (Switzerland)</w:t>
      </w:r>
      <w:r w:rsidRPr="002B6A0E">
        <w:rPr>
          <w:rFonts w:ascii="Book Antiqua" w:hAnsi="Book Antiqua"/>
          <w:noProof/>
          <w:sz w:val="20"/>
          <w:szCs w:val="20"/>
        </w:rPr>
        <w:t xml:space="preserve">, </w:t>
      </w:r>
      <w:r w:rsidRPr="002B6A0E">
        <w:rPr>
          <w:rFonts w:ascii="Book Antiqua" w:hAnsi="Book Antiqua"/>
          <w:i/>
          <w:iCs/>
          <w:noProof/>
          <w:sz w:val="20"/>
          <w:szCs w:val="20"/>
        </w:rPr>
        <w:t>14</w:t>
      </w:r>
      <w:r w:rsidRPr="002B6A0E">
        <w:rPr>
          <w:rFonts w:ascii="Book Antiqua" w:hAnsi="Book Antiqua"/>
          <w:noProof/>
          <w:sz w:val="20"/>
          <w:szCs w:val="20"/>
        </w:rPr>
        <w:t>(14). https://doi.org/10.3390/healthcare14142049</w:t>
      </w:r>
    </w:p>
    <w:p w14:paraId="2E7AEADD"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20"/>
        </w:rPr>
      </w:pPr>
      <w:r w:rsidRPr="002B6A0E">
        <w:rPr>
          <w:rFonts w:ascii="Book Antiqua" w:hAnsi="Book Antiqua"/>
          <w:noProof/>
          <w:sz w:val="20"/>
          <w:szCs w:val="20"/>
        </w:rPr>
        <w:t xml:space="preserve">Vallmark, M., Brorsson, A. L., Sparud-Lundin, C., Bratt, E.-L., Moons, P., Saarijärvi, M., &amp; Mora, M. A. (2023). Development and psychometric evaluation of TEXP-Q: a questionnaire measuring transition and transfer experiences in emerging adults with type 1 diabetes. </w:t>
      </w:r>
      <w:r w:rsidRPr="002B6A0E">
        <w:rPr>
          <w:rFonts w:ascii="Book Antiqua" w:hAnsi="Book Antiqua"/>
          <w:i/>
          <w:iCs/>
          <w:noProof/>
          <w:sz w:val="20"/>
          <w:szCs w:val="20"/>
        </w:rPr>
        <w:t>Journal of Patient-Reported Outcomes</w:t>
      </w:r>
      <w:r w:rsidRPr="002B6A0E">
        <w:rPr>
          <w:rFonts w:ascii="Book Antiqua" w:hAnsi="Book Antiqua"/>
          <w:noProof/>
          <w:sz w:val="20"/>
          <w:szCs w:val="20"/>
        </w:rPr>
        <w:t xml:space="preserve">, </w:t>
      </w:r>
      <w:r w:rsidRPr="002B6A0E">
        <w:rPr>
          <w:rFonts w:ascii="Book Antiqua" w:hAnsi="Book Antiqua"/>
          <w:i/>
          <w:iCs/>
          <w:noProof/>
          <w:sz w:val="20"/>
          <w:szCs w:val="20"/>
        </w:rPr>
        <w:t>7</w:t>
      </w:r>
      <w:r w:rsidRPr="002B6A0E">
        <w:rPr>
          <w:rFonts w:ascii="Book Antiqua" w:hAnsi="Book Antiqua"/>
          <w:noProof/>
          <w:sz w:val="20"/>
          <w:szCs w:val="20"/>
        </w:rPr>
        <w:t>(1). https://doi.org/10.1186/s41687-023-00652-1</w:t>
      </w:r>
    </w:p>
    <w:p w14:paraId="3C90F481" w14:textId="77777777" w:rsidR="002B6A0E" w:rsidRPr="002B6A0E" w:rsidRDefault="002B6A0E" w:rsidP="00CF74CE">
      <w:pPr>
        <w:widowControl w:val="0"/>
        <w:autoSpaceDE w:val="0"/>
        <w:autoSpaceDN w:val="0"/>
        <w:adjustRightInd w:val="0"/>
        <w:spacing w:after="120" w:line="240" w:lineRule="auto"/>
        <w:ind w:left="480" w:hanging="480"/>
        <w:jc w:val="left"/>
        <w:rPr>
          <w:rFonts w:ascii="Book Antiqua" w:hAnsi="Book Antiqua"/>
          <w:noProof/>
          <w:sz w:val="20"/>
          <w:szCs w:val="18"/>
        </w:rPr>
      </w:pPr>
      <w:r w:rsidRPr="002B6A0E">
        <w:rPr>
          <w:rFonts w:ascii="Book Antiqua" w:hAnsi="Book Antiqua"/>
          <w:noProof/>
          <w:sz w:val="20"/>
          <w:szCs w:val="20"/>
        </w:rPr>
        <w:lastRenderedPageBreak/>
        <w:t xml:space="preserve">Zheng, X., Preis, H., Whitney, C., Bojsza, E., &amp; Pati, S. (2025). Burnout and Professional Fulfillment: Associations With Interprofessional Communication Skills and Climate Among Clinical Health Professionals. </w:t>
      </w:r>
      <w:r w:rsidRPr="002B6A0E">
        <w:rPr>
          <w:rFonts w:ascii="Book Antiqua" w:hAnsi="Book Antiqua"/>
          <w:i/>
          <w:iCs/>
          <w:noProof/>
          <w:sz w:val="20"/>
          <w:szCs w:val="20"/>
        </w:rPr>
        <w:t>Journal of Occupational and Environmental Medicine</w:t>
      </w:r>
      <w:r w:rsidRPr="002B6A0E">
        <w:rPr>
          <w:rFonts w:ascii="Book Antiqua" w:hAnsi="Book Antiqua"/>
          <w:noProof/>
          <w:sz w:val="20"/>
          <w:szCs w:val="20"/>
        </w:rPr>
        <w:t xml:space="preserve">, </w:t>
      </w:r>
      <w:r w:rsidRPr="002B6A0E">
        <w:rPr>
          <w:rFonts w:ascii="Book Antiqua" w:hAnsi="Book Antiqua"/>
          <w:i/>
          <w:iCs/>
          <w:noProof/>
          <w:sz w:val="20"/>
          <w:szCs w:val="20"/>
        </w:rPr>
        <w:t>67</w:t>
      </w:r>
      <w:r w:rsidRPr="002B6A0E">
        <w:rPr>
          <w:rFonts w:ascii="Book Antiqua" w:hAnsi="Book Antiqua"/>
          <w:noProof/>
          <w:sz w:val="20"/>
          <w:szCs w:val="20"/>
        </w:rPr>
        <w:t>(6), 425–430. https://doi.org/10.1097/JOM.0000000000003355</w:t>
      </w:r>
    </w:p>
    <w:p w14:paraId="147EC1F7" w14:textId="796F9F04" w:rsidR="0047413E" w:rsidRPr="0047413E" w:rsidRDefault="002B6A0E" w:rsidP="00CF74CE">
      <w:pPr>
        <w:spacing w:after="120"/>
        <w:jc w:val="left"/>
        <w:rPr>
          <w:lang w:val="pt-BR"/>
        </w:rPr>
      </w:pPr>
      <w:r w:rsidRPr="002B6A0E">
        <w:rPr>
          <w:rFonts w:ascii="Book Antiqua" w:hAnsi="Book Antiqua"/>
          <w:sz w:val="20"/>
          <w:szCs w:val="18"/>
          <w:lang w:val="pt-BR"/>
        </w:rPr>
        <w:fldChar w:fldCharType="end"/>
      </w:r>
    </w:p>
    <w:sectPr w:rsidR="0047413E" w:rsidRPr="0047413E" w:rsidSect="00776DB9">
      <w:headerReference w:type="default" r:id="rId19"/>
      <w:footerReference w:type="default" r:id="rId20"/>
      <w:pgSz w:w="11906" w:h="16838" w:code="9"/>
      <w:pgMar w:top="1701" w:right="1701" w:bottom="1560" w:left="1701" w:header="850" w:footer="85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710FC" w14:textId="77777777" w:rsidR="00B24FA7" w:rsidRDefault="00B24FA7" w:rsidP="00786F12">
      <w:pPr>
        <w:spacing w:after="0" w:line="240" w:lineRule="auto"/>
      </w:pPr>
      <w:r>
        <w:separator/>
      </w:r>
    </w:p>
  </w:endnote>
  <w:endnote w:type="continuationSeparator" w:id="0">
    <w:p w14:paraId="3A8DD4DE" w14:textId="77777777" w:rsidR="00B24FA7" w:rsidRDefault="00B24FA7" w:rsidP="0078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Baskerville Old Face">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655C" w14:textId="2DE7BAC7" w:rsidR="00E217D4" w:rsidRPr="00D02583" w:rsidRDefault="00E217D4" w:rsidP="00FF3BAF">
    <w:pPr>
      <w:pStyle w:val="Piedepgina"/>
      <w:jc w:val="center"/>
      <w:rPr>
        <w:rFonts w:ascii="Book Antiqua" w:hAnsi="Book Antiqua"/>
        <w:sz w:val="16"/>
        <w:szCs w:val="16"/>
        <w:lang w:val="pt-BR"/>
      </w:rPr>
    </w:pPr>
    <w:r w:rsidRPr="0055659E">
      <w:rPr>
        <w:rFonts w:ascii="Book Antiqua" w:hAnsi="Book Antiqua"/>
        <w:sz w:val="16"/>
        <w:szCs w:val="16"/>
        <w:lang w:val="pt-BR"/>
      </w:rPr>
      <w:t xml:space="preserve">Rev. Amaz. Cienc. Soc. </w:t>
    </w:r>
    <w:r w:rsidR="0039761C" w:rsidRPr="0055659E">
      <w:rPr>
        <w:rFonts w:ascii="Book Antiqua" w:hAnsi="Book Antiqua"/>
        <w:sz w:val="16"/>
        <w:szCs w:val="16"/>
        <w:lang w:val="pt-BR"/>
      </w:rPr>
      <w:t>5</w:t>
    </w:r>
    <w:r w:rsidRPr="0055659E">
      <w:rPr>
        <w:rFonts w:ascii="Book Antiqua" w:hAnsi="Book Antiqua"/>
        <w:sz w:val="16"/>
        <w:szCs w:val="16"/>
        <w:lang w:val="pt-BR"/>
      </w:rPr>
      <w:t>(</w:t>
    </w:r>
    <w:r w:rsidR="0055659E" w:rsidRPr="0055659E">
      <w:rPr>
        <w:rFonts w:ascii="Book Antiqua" w:hAnsi="Book Antiqua"/>
        <w:sz w:val="16"/>
        <w:szCs w:val="16"/>
        <w:lang w:val="pt-BR"/>
      </w:rPr>
      <w:t>2</w:t>
    </w:r>
    <w:r w:rsidRPr="0055659E">
      <w:rPr>
        <w:rFonts w:ascii="Book Antiqua" w:hAnsi="Book Antiqua"/>
        <w:sz w:val="16"/>
        <w:szCs w:val="16"/>
        <w:lang w:val="pt-BR"/>
      </w:rPr>
      <w:t xml:space="preserve">): </w:t>
    </w:r>
    <w:r w:rsidR="006C4F68" w:rsidRPr="0055659E">
      <w:rPr>
        <w:rFonts w:ascii="Book Antiqua" w:hAnsi="Book Antiqua"/>
        <w:sz w:val="16"/>
        <w:szCs w:val="16"/>
        <w:lang w:val="pt-BR"/>
      </w:rPr>
      <w:t>e</w:t>
    </w:r>
    <w:r w:rsidR="00DC7DA6" w:rsidRPr="0055659E">
      <w:rPr>
        <w:rFonts w:ascii="Book Antiqua" w:hAnsi="Book Antiqua"/>
        <w:sz w:val="16"/>
        <w:szCs w:val="16"/>
        <w:lang w:val="pt-BR"/>
      </w:rPr>
      <w:t>4</w:t>
    </w:r>
    <w:r w:rsidR="0055659E" w:rsidRPr="0055659E">
      <w:rPr>
        <w:rFonts w:ascii="Book Antiqua" w:hAnsi="Book Antiqua"/>
        <w:sz w:val="16"/>
        <w:szCs w:val="16"/>
        <w:lang w:val="pt-BR"/>
      </w:rPr>
      <w:t>68</w:t>
    </w:r>
    <w:r w:rsidRPr="0055659E">
      <w:rPr>
        <w:rFonts w:ascii="Book Antiqua" w:hAnsi="Book Antiqua"/>
        <w:sz w:val="16"/>
        <w:szCs w:val="16"/>
        <w:lang w:val="pt-BR"/>
      </w:rPr>
      <w:t xml:space="preserve"> (202</w:t>
    </w:r>
    <w:r w:rsidR="0039761C" w:rsidRPr="0055659E">
      <w:rPr>
        <w:rFonts w:ascii="Book Antiqua" w:hAnsi="Book Antiqua"/>
        <w:sz w:val="16"/>
        <w:szCs w:val="16"/>
        <w:lang w:val="pt-BR"/>
      </w:rPr>
      <w:t>6</w:t>
    </w:r>
    <w:r w:rsidRPr="0055659E">
      <w:rPr>
        <w:rFonts w:ascii="Book Antiqua" w:hAnsi="Book Antiqua"/>
        <w:sz w:val="16"/>
        <w:szCs w:val="16"/>
        <w:lang w:val="pt-BR"/>
      </w:rPr>
      <w:t>). e-ISSN: 2810-8744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45BE0" w14:textId="7949CFBA" w:rsidR="00E217D4" w:rsidRDefault="00E217D4" w:rsidP="00A85237">
    <w:pPr>
      <w:pStyle w:val="Piedepgina"/>
      <w:rPr>
        <w:rFonts w:ascii="Book Antiqua" w:hAnsi="Book Antiqua"/>
        <w:sz w:val="16"/>
        <w:szCs w:val="16"/>
      </w:rPr>
    </w:pPr>
    <w:r w:rsidRPr="00904F25">
      <w:rPr>
        <w:rFonts w:ascii="Book Antiqua" w:hAnsi="Book Antiqua"/>
        <w:b/>
        <w:sz w:val="16"/>
        <w:szCs w:val="16"/>
      </w:rPr>
      <w:t>Cómo citar / Citation:</w:t>
    </w:r>
    <w:r w:rsidR="00904F25" w:rsidRPr="00904F25">
      <w:rPr>
        <w:rFonts w:ascii="Book Antiqua" w:hAnsi="Book Antiqua"/>
        <w:sz w:val="16"/>
        <w:szCs w:val="16"/>
      </w:rPr>
      <w:t xml:space="preserve"> </w:t>
    </w:r>
    <w:r w:rsidR="00B7607B" w:rsidRPr="00B7607B">
      <w:rPr>
        <w:rFonts w:ascii="Book Antiqua" w:hAnsi="Book Antiqua"/>
        <w:sz w:val="16"/>
        <w:szCs w:val="16"/>
      </w:rPr>
      <w:t>Vera-Gutiérrez, C. P.</w:t>
    </w:r>
    <w:r w:rsidR="00BC249C">
      <w:rPr>
        <w:rFonts w:ascii="Book Antiqua" w:hAnsi="Book Antiqua"/>
        <w:sz w:val="16"/>
        <w:szCs w:val="16"/>
      </w:rPr>
      <w:t xml:space="preserve">, </w:t>
    </w:r>
    <w:r w:rsidR="00BC249C" w:rsidRPr="00BC249C">
      <w:rPr>
        <w:rFonts w:ascii="Book Antiqua" w:hAnsi="Book Antiqua"/>
        <w:sz w:val="16"/>
        <w:szCs w:val="16"/>
      </w:rPr>
      <w:t>Meneses-La-Rivas</w:t>
    </w:r>
    <w:r w:rsidR="00BC249C">
      <w:rPr>
        <w:rFonts w:ascii="Book Antiqua" w:hAnsi="Book Antiqua"/>
        <w:sz w:val="16"/>
        <w:szCs w:val="16"/>
      </w:rPr>
      <w:t xml:space="preserve">, </w:t>
    </w:r>
    <w:r w:rsidR="00BC249C" w:rsidRPr="00BC249C">
      <w:rPr>
        <w:rFonts w:ascii="Book Antiqua" w:hAnsi="Book Antiqua"/>
        <w:sz w:val="16"/>
        <w:szCs w:val="16"/>
      </w:rPr>
      <w:t>M</w:t>
    </w:r>
    <w:r w:rsidR="00BC249C">
      <w:rPr>
        <w:rFonts w:ascii="Book Antiqua" w:hAnsi="Book Antiqua"/>
        <w:sz w:val="16"/>
        <w:szCs w:val="16"/>
      </w:rPr>
      <w:t>.</w:t>
    </w:r>
    <w:r w:rsidR="00BC249C" w:rsidRPr="00BC249C">
      <w:rPr>
        <w:rFonts w:ascii="Book Antiqua" w:hAnsi="Book Antiqua"/>
        <w:sz w:val="16"/>
        <w:szCs w:val="16"/>
      </w:rPr>
      <w:t xml:space="preserve"> E</w:t>
    </w:r>
    <w:r w:rsidR="00BC249C">
      <w:rPr>
        <w:rFonts w:ascii="Book Antiqua" w:hAnsi="Book Antiqua"/>
        <w:sz w:val="16"/>
        <w:szCs w:val="16"/>
      </w:rPr>
      <w:t>.</w:t>
    </w:r>
    <w:r w:rsidR="00BC249C" w:rsidRPr="00BC249C">
      <w:rPr>
        <w:rFonts w:ascii="Book Antiqua" w:hAnsi="Book Antiqua"/>
        <w:sz w:val="16"/>
        <w:szCs w:val="16"/>
      </w:rPr>
      <w:t xml:space="preserve"> </w:t>
    </w:r>
    <w:r w:rsidR="00BC249C">
      <w:rPr>
        <w:rFonts w:ascii="Book Antiqua" w:hAnsi="Book Antiqua"/>
        <w:sz w:val="16"/>
        <w:szCs w:val="16"/>
      </w:rPr>
      <w:t xml:space="preserve">&amp; </w:t>
    </w:r>
    <w:r w:rsidR="00BC249C" w:rsidRPr="00BC249C">
      <w:rPr>
        <w:rFonts w:ascii="Book Antiqua" w:hAnsi="Book Antiqua"/>
        <w:sz w:val="16"/>
        <w:szCs w:val="16"/>
      </w:rPr>
      <w:t>Castillo-Olsson</w:t>
    </w:r>
    <w:r w:rsidR="00BC249C">
      <w:rPr>
        <w:rFonts w:ascii="Book Antiqua" w:hAnsi="Book Antiqua"/>
        <w:sz w:val="16"/>
        <w:szCs w:val="16"/>
      </w:rPr>
      <w:t xml:space="preserve">, </w:t>
    </w:r>
    <w:r w:rsidR="00BC249C" w:rsidRPr="00BC249C">
      <w:rPr>
        <w:rFonts w:ascii="Book Antiqua" w:hAnsi="Book Antiqua"/>
        <w:sz w:val="16"/>
        <w:szCs w:val="16"/>
      </w:rPr>
      <w:t>S</w:t>
    </w:r>
    <w:r w:rsidR="00BC249C">
      <w:rPr>
        <w:rFonts w:ascii="Book Antiqua" w:hAnsi="Book Antiqua"/>
        <w:sz w:val="16"/>
        <w:szCs w:val="16"/>
      </w:rPr>
      <w:t>.</w:t>
    </w:r>
    <w:r w:rsidR="00BC249C" w:rsidRPr="00BC249C">
      <w:rPr>
        <w:rFonts w:ascii="Book Antiqua" w:hAnsi="Book Antiqua"/>
        <w:sz w:val="16"/>
        <w:szCs w:val="16"/>
      </w:rPr>
      <w:t xml:space="preserve"> E</w:t>
    </w:r>
    <w:r w:rsidR="00BC249C">
      <w:rPr>
        <w:rFonts w:ascii="Book Antiqua" w:hAnsi="Book Antiqua"/>
        <w:sz w:val="16"/>
        <w:szCs w:val="16"/>
      </w:rPr>
      <w:t>.</w:t>
    </w:r>
    <w:r w:rsidR="00B7607B" w:rsidRPr="00B7607B">
      <w:rPr>
        <w:rFonts w:ascii="Book Antiqua" w:hAnsi="Book Antiqua"/>
        <w:sz w:val="16"/>
        <w:szCs w:val="16"/>
      </w:rPr>
      <w:t xml:space="preserve"> (2026). Asociación entre inteligencia emocional y comunicación interna en trabajadores de un establecimiento de salud de San Martín</w:t>
    </w:r>
    <w:r w:rsidR="00B7607B">
      <w:rPr>
        <w:rFonts w:ascii="Book Antiqua" w:hAnsi="Book Antiqua"/>
        <w:sz w:val="16"/>
        <w:szCs w:val="16"/>
      </w:rPr>
      <w:t xml:space="preserve">, </w:t>
    </w:r>
    <w:r w:rsidR="00B7607B" w:rsidRPr="00B7607B">
      <w:rPr>
        <w:rFonts w:ascii="Book Antiqua" w:hAnsi="Book Antiqua"/>
        <w:sz w:val="16"/>
        <w:szCs w:val="16"/>
      </w:rPr>
      <w:t>Perú.</w:t>
    </w:r>
    <w:r w:rsidR="00B7607B">
      <w:rPr>
        <w:rFonts w:ascii="Book Antiqua" w:hAnsi="Book Antiqua"/>
        <w:sz w:val="16"/>
        <w:szCs w:val="16"/>
      </w:rPr>
      <w:t xml:space="preserve"> </w:t>
    </w:r>
    <w:r w:rsidRPr="00A11BD2">
      <w:rPr>
        <w:rFonts w:ascii="Book Antiqua" w:hAnsi="Book Antiqua"/>
        <w:i/>
        <w:sz w:val="16"/>
        <w:szCs w:val="16"/>
      </w:rPr>
      <w:t>Revista Amazónica de Ciencias Sociales</w:t>
    </w:r>
    <w:r w:rsidRPr="00A11BD2">
      <w:rPr>
        <w:rFonts w:ascii="Book Antiqua" w:hAnsi="Book Antiqua"/>
        <w:sz w:val="16"/>
        <w:szCs w:val="16"/>
      </w:rPr>
      <w:t xml:space="preserve">, </w:t>
    </w:r>
    <w:r w:rsidR="0039761C" w:rsidRPr="00A11BD2">
      <w:rPr>
        <w:rFonts w:ascii="Book Antiqua" w:hAnsi="Book Antiqua"/>
        <w:sz w:val="16"/>
        <w:szCs w:val="16"/>
      </w:rPr>
      <w:t>5</w:t>
    </w:r>
    <w:r w:rsidRPr="00A11BD2">
      <w:rPr>
        <w:rFonts w:ascii="Book Antiqua" w:hAnsi="Book Antiqua"/>
        <w:sz w:val="16"/>
        <w:szCs w:val="16"/>
      </w:rPr>
      <w:t>(</w:t>
    </w:r>
    <w:r w:rsidR="0055659E" w:rsidRPr="00A11BD2">
      <w:rPr>
        <w:rFonts w:ascii="Book Antiqua" w:hAnsi="Book Antiqua"/>
        <w:sz w:val="16"/>
        <w:szCs w:val="16"/>
      </w:rPr>
      <w:t>2</w:t>
    </w:r>
    <w:r w:rsidRPr="00A11BD2">
      <w:rPr>
        <w:rFonts w:ascii="Book Antiqua" w:hAnsi="Book Antiqua"/>
        <w:sz w:val="16"/>
        <w:szCs w:val="16"/>
      </w:rPr>
      <w:t xml:space="preserve">), </w:t>
    </w:r>
    <w:r w:rsidR="00807FA7" w:rsidRPr="00A11BD2">
      <w:rPr>
        <w:rFonts w:ascii="Book Antiqua" w:hAnsi="Book Antiqua"/>
        <w:sz w:val="16"/>
        <w:szCs w:val="16"/>
      </w:rPr>
      <w:t>e</w:t>
    </w:r>
    <w:r w:rsidR="0039761C" w:rsidRPr="00A11BD2">
      <w:rPr>
        <w:rFonts w:ascii="Book Antiqua" w:hAnsi="Book Antiqua"/>
        <w:sz w:val="16"/>
        <w:szCs w:val="16"/>
      </w:rPr>
      <w:t>4</w:t>
    </w:r>
    <w:r w:rsidR="0055659E" w:rsidRPr="00A11BD2">
      <w:rPr>
        <w:rFonts w:ascii="Book Antiqua" w:hAnsi="Book Antiqua"/>
        <w:sz w:val="16"/>
        <w:szCs w:val="16"/>
      </w:rPr>
      <w:t>68</w:t>
    </w:r>
    <w:r w:rsidRPr="00A11BD2">
      <w:rPr>
        <w:rFonts w:ascii="Book Antiqua" w:hAnsi="Book Antiqua"/>
        <w:sz w:val="16"/>
        <w:szCs w:val="16"/>
      </w:rPr>
      <w:t xml:space="preserve">. </w:t>
    </w:r>
    <w:hyperlink r:id="rId1" w:history="1">
      <w:r w:rsidR="0055659E" w:rsidRPr="00A11BD2">
        <w:rPr>
          <w:rStyle w:val="Hipervnculo"/>
          <w:rFonts w:ascii="Book Antiqua" w:hAnsi="Book Antiqua"/>
          <w:sz w:val="16"/>
          <w:szCs w:val="16"/>
        </w:rPr>
        <w:t>https://doi.org/10.55873/racs.v5i2.468</w:t>
      </w:r>
    </w:hyperlink>
    <w:r w:rsidR="00D870E1">
      <w:rPr>
        <w:rFonts w:ascii="Book Antiqua" w:hAnsi="Book Antiqua"/>
        <w:sz w:val="16"/>
        <w:szCs w:val="16"/>
      </w:rPr>
      <w:t xml:space="preserve"> </w:t>
    </w:r>
    <w:r w:rsidR="00807FA7">
      <w:rPr>
        <w:rFonts w:ascii="Book Antiqua" w:hAnsi="Book Antiqua"/>
        <w:sz w:val="16"/>
        <w:szCs w:val="16"/>
      </w:rPr>
      <w:t xml:space="preserve"> </w:t>
    </w:r>
  </w:p>
  <w:p w14:paraId="6E3568FA" w14:textId="77777777" w:rsidR="00E217D4" w:rsidRPr="005A1915" w:rsidRDefault="00E217D4" w:rsidP="0037161A">
    <w:pPr>
      <w:pStyle w:val="Piedepgina"/>
      <w:jc w:val="left"/>
      <w:rPr>
        <w:rFonts w:ascii="Book Antiqua" w:hAnsi="Book Antiqu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06171" w14:textId="3422C4D8" w:rsidR="00E217D4" w:rsidRPr="00D02583" w:rsidRDefault="00E217D4" w:rsidP="006D32A9">
    <w:pPr>
      <w:pStyle w:val="Piedepgina"/>
      <w:jc w:val="center"/>
      <w:rPr>
        <w:rFonts w:ascii="Book Antiqua" w:hAnsi="Book Antiqua"/>
        <w:sz w:val="16"/>
        <w:szCs w:val="16"/>
        <w:lang w:val="pt-BR"/>
      </w:rPr>
    </w:pPr>
    <w:r w:rsidRPr="0055659E">
      <w:rPr>
        <w:rFonts w:ascii="Book Antiqua" w:hAnsi="Book Antiqua"/>
        <w:sz w:val="16"/>
        <w:szCs w:val="16"/>
        <w:lang w:val="pt-BR"/>
      </w:rPr>
      <w:t xml:space="preserve">Rev. Amaz. Cienc. Soc. </w:t>
    </w:r>
    <w:r w:rsidR="0055659E" w:rsidRPr="0055659E">
      <w:rPr>
        <w:rFonts w:ascii="Book Antiqua" w:hAnsi="Book Antiqua"/>
        <w:sz w:val="16"/>
        <w:szCs w:val="16"/>
        <w:lang w:val="pt-BR"/>
      </w:rPr>
      <w:t>5</w:t>
    </w:r>
    <w:r w:rsidRPr="0055659E">
      <w:rPr>
        <w:rFonts w:ascii="Book Antiqua" w:hAnsi="Book Antiqua"/>
        <w:sz w:val="16"/>
        <w:szCs w:val="16"/>
        <w:lang w:val="pt-BR"/>
      </w:rPr>
      <w:t>(</w:t>
    </w:r>
    <w:r w:rsidR="0055659E" w:rsidRPr="0055659E">
      <w:rPr>
        <w:rFonts w:ascii="Book Antiqua" w:hAnsi="Book Antiqua"/>
        <w:sz w:val="16"/>
        <w:szCs w:val="16"/>
        <w:lang w:val="pt-BR"/>
      </w:rPr>
      <w:t>2</w:t>
    </w:r>
    <w:r w:rsidRPr="0055659E">
      <w:rPr>
        <w:rFonts w:ascii="Book Antiqua" w:hAnsi="Book Antiqua"/>
        <w:sz w:val="16"/>
        <w:szCs w:val="16"/>
        <w:lang w:val="pt-BR"/>
      </w:rPr>
      <w:t xml:space="preserve">): </w:t>
    </w:r>
    <w:r w:rsidR="006C4F68" w:rsidRPr="0055659E">
      <w:rPr>
        <w:rFonts w:ascii="Book Antiqua" w:hAnsi="Book Antiqua"/>
        <w:sz w:val="16"/>
        <w:szCs w:val="16"/>
        <w:lang w:val="pt-BR"/>
      </w:rPr>
      <w:t>e</w:t>
    </w:r>
    <w:r w:rsidR="0055659E" w:rsidRPr="0055659E">
      <w:rPr>
        <w:rFonts w:ascii="Book Antiqua" w:hAnsi="Book Antiqua"/>
        <w:sz w:val="16"/>
        <w:szCs w:val="16"/>
        <w:lang w:val="pt-BR"/>
      </w:rPr>
      <w:t>468</w:t>
    </w:r>
    <w:r w:rsidRPr="0055659E">
      <w:rPr>
        <w:rFonts w:ascii="Book Antiqua" w:hAnsi="Book Antiqua"/>
        <w:sz w:val="16"/>
        <w:szCs w:val="16"/>
        <w:lang w:val="pt-BR"/>
      </w:rPr>
      <w:t xml:space="preserve"> (202</w:t>
    </w:r>
    <w:r w:rsidR="0055659E">
      <w:rPr>
        <w:rFonts w:ascii="Book Antiqua" w:hAnsi="Book Antiqua"/>
        <w:sz w:val="16"/>
        <w:szCs w:val="16"/>
        <w:lang w:val="pt-BR"/>
      </w:rPr>
      <w:t>6</w:t>
    </w:r>
    <w:r w:rsidRPr="0055659E">
      <w:rPr>
        <w:rFonts w:ascii="Book Antiqua" w:hAnsi="Book Antiqua"/>
        <w:sz w:val="16"/>
        <w:szCs w:val="16"/>
        <w:lang w:val="pt-BR"/>
      </w:rPr>
      <w:t>). e-ISSN: 2810-8744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12BE" w14:textId="77777777" w:rsidR="00B24FA7" w:rsidRDefault="00B24FA7" w:rsidP="00786F12">
      <w:pPr>
        <w:spacing w:after="0" w:line="240" w:lineRule="auto"/>
      </w:pPr>
      <w:r>
        <w:separator/>
      </w:r>
    </w:p>
  </w:footnote>
  <w:footnote w:type="continuationSeparator" w:id="0">
    <w:p w14:paraId="118C30DB" w14:textId="77777777" w:rsidR="00B24FA7" w:rsidRDefault="00B24FA7" w:rsidP="00786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23A7" w14:textId="56BA679A" w:rsidR="00E217D4" w:rsidRPr="00795A7B" w:rsidRDefault="00732D00" w:rsidP="00E36E83">
    <w:pPr>
      <w:pStyle w:val="Encabezado"/>
      <w:pBdr>
        <w:bottom w:val="single" w:sz="6" w:space="1" w:color="auto"/>
      </w:pBdr>
      <w:tabs>
        <w:tab w:val="left" w:pos="5704"/>
      </w:tabs>
      <w:jc w:val="left"/>
      <w:rPr>
        <w:rFonts w:ascii="Book Antiqua" w:hAnsi="Book Antiqua"/>
        <w:sz w:val="16"/>
        <w:szCs w:val="16"/>
      </w:rPr>
    </w:pPr>
    <w:r w:rsidRPr="00732D00">
      <w:rPr>
        <w:rFonts w:ascii="Book Antiqua" w:hAnsi="Book Antiqua"/>
        <w:sz w:val="16"/>
        <w:szCs w:val="16"/>
      </w:rPr>
      <w:t>Asociación entre inteligencia emocional y comunicación interna en trabajadores de un establecimiento de salud</w:t>
    </w:r>
    <w:r w:rsidR="00373D92">
      <w:rPr>
        <w:rFonts w:ascii="Book Antiqua" w:hAnsi="Book Antiqua"/>
        <w:sz w:val="16"/>
        <w:szCs w:val="16"/>
      </w:rPr>
      <w:t>…</w:t>
    </w:r>
    <w:r w:rsidR="00E217D4">
      <w:rPr>
        <w:rFonts w:ascii="Book Antiqua" w:hAnsi="Book Antiqua"/>
        <w:sz w:val="16"/>
        <w:szCs w:val="16"/>
      </w:rPr>
      <w:tab/>
    </w:r>
    <w:r w:rsidR="00E217D4" w:rsidRPr="00795A7B">
      <w:rPr>
        <w:rFonts w:ascii="Book Antiqua" w:hAnsi="Book Antiqua"/>
        <w:sz w:val="20"/>
        <w:szCs w:val="20"/>
      </w:rPr>
      <w:fldChar w:fldCharType="begin"/>
    </w:r>
    <w:r w:rsidR="00E217D4" w:rsidRPr="00795A7B">
      <w:rPr>
        <w:rFonts w:ascii="Book Antiqua" w:hAnsi="Book Antiqua"/>
        <w:sz w:val="20"/>
        <w:szCs w:val="20"/>
      </w:rPr>
      <w:instrText>PAGE   \* MERGEFORMAT</w:instrText>
    </w:r>
    <w:r w:rsidR="00E217D4" w:rsidRPr="00795A7B">
      <w:rPr>
        <w:rFonts w:ascii="Book Antiqua" w:hAnsi="Book Antiqua"/>
        <w:sz w:val="20"/>
        <w:szCs w:val="20"/>
      </w:rPr>
      <w:fldChar w:fldCharType="separate"/>
    </w:r>
    <w:r w:rsidR="002C6092" w:rsidRPr="002C6092">
      <w:rPr>
        <w:rFonts w:ascii="Book Antiqua" w:hAnsi="Book Antiqua"/>
        <w:noProof/>
        <w:sz w:val="20"/>
        <w:szCs w:val="20"/>
        <w:lang w:val="es-ES"/>
      </w:rPr>
      <w:t>10</w:t>
    </w:r>
    <w:r w:rsidR="00E217D4" w:rsidRPr="00795A7B">
      <w:rPr>
        <w:rFonts w:ascii="Book Antiqua" w:hAnsi="Book Antiqua"/>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7FD7" w14:textId="77777777" w:rsidR="00E217D4" w:rsidRPr="0039761C" w:rsidRDefault="00E217D4" w:rsidP="005A1915">
    <w:pPr>
      <w:pBdr>
        <w:top w:val="single" w:sz="6" w:space="1" w:color="auto"/>
        <w:bottom w:val="single" w:sz="6" w:space="1" w:color="auto"/>
      </w:pBdr>
      <w:spacing w:after="0" w:line="240" w:lineRule="auto"/>
      <w:jc w:val="center"/>
      <w:rPr>
        <w:rFonts w:ascii="Book Antiqua" w:hAnsi="Book Antiqua"/>
        <w:b/>
        <w:sz w:val="28"/>
        <w:szCs w:val="32"/>
      </w:rPr>
    </w:pPr>
    <w:r w:rsidRPr="0039761C">
      <w:rPr>
        <w:rFonts w:ascii="Book Antiqua" w:hAnsi="Book Antiqua"/>
        <w:b/>
        <w:sz w:val="28"/>
        <w:szCs w:val="32"/>
      </w:rPr>
      <w:t>Revista Amazónica de Ciencias Sociales</w:t>
    </w:r>
  </w:p>
  <w:p w14:paraId="1AD3364C" w14:textId="21CD38A9" w:rsidR="00E217D4" w:rsidRPr="0039761C" w:rsidRDefault="006C7AE6" w:rsidP="00FE06AE">
    <w:pPr>
      <w:spacing w:after="0" w:line="240" w:lineRule="auto"/>
      <w:rPr>
        <w:rFonts w:ascii="Book Antiqua" w:hAnsi="Book Antiqua"/>
        <w:sz w:val="18"/>
        <w:szCs w:val="18"/>
        <w:lang w:val="pt-BR"/>
      </w:rPr>
    </w:pPr>
    <w:r w:rsidRPr="0055659E">
      <w:rPr>
        <w:noProof/>
      </w:rPr>
      <w:drawing>
        <wp:anchor distT="0" distB="0" distL="114300" distR="114300" simplePos="0" relativeHeight="251657728" behindDoc="0" locked="0" layoutInCell="1" allowOverlap="1" wp14:anchorId="1F739384" wp14:editId="25560573">
          <wp:simplePos x="0" y="0"/>
          <wp:positionH relativeFrom="margin">
            <wp:align>right</wp:align>
          </wp:positionH>
          <wp:positionV relativeFrom="paragraph">
            <wp:posOffset>113665</wp:posOffset>
          </wp:positionV>
          <wp:extent cx="841375" cy="323850"/>
          <wp:effectExtent l="0" t="0" r="0" b="0"/>
          <wp:wrapThrough wrapText="bothSides">
            <wp:wrapPolygon edited="0">
              <wp:start x="0" y="0"/>
              <wp:lineTo x="0" y="20329"/>
              <wp:lineTo x="21029" y="20329"/>
              <wp:lineTo x="21029" y="0"/>
              <wp:lineTo x="0" y="0"/>
            </wp:wrapPolygon>
          </wp:wrapThrough>
          <wp:docPr id="1" name="Imagen 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13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217D4" w:rsidRPr="0055659E">
      <w:rPr>
        <w:rFonts w:ascii="Book Antiqua" w:hAnsi="Book Antiqua"/>
        <w:sz w:val="18"/>
        <w:szCs w:val="18"/>
        <w:lang w:val="pt-BR"/>
      </w:rPr>
      <w:t xml:space="preserve">Vol. </w:t>
    </w:r>
    <w:r w:rsidR="00432842" w:rsidRPr="0055659E">
      <w:rPr>
        <w:rFonts w:ascii="Book Antiqua" w:hAnsi="Book Antiqua"/>
        <w:sz w:val="18"/>
        <w:szCs w:val="18"/>
        <w:lang w:val="pt-BR"/>
      </w:rPr>
      <w:t>5</w:t>
    </w:r>
    <w:r w:rsidR="00E217D4" w:rsidRPr="0055659E">
      <w:rPr>
        <w:rFonts w:ascii="Book Antiqua" w:hAnsi="Book Antiqua"/>
        <w:sz w:val="18"/>
        <w:szCs w:val="18"/>
        <w:lang w:val="pt-BR"/>
      </w:rPr>
      <w:t xml:space="preserve"> Núm. </w:t>
    </w:r>
    <w:r w:rsidR="0055659E" w:rsidRPr="0055659E">
      <w:rPr>
        <w:rFonts w:ascii="Book Antiqua" w:hAnsi="Book Antiqua"/>
        <w:sz w:val="18"/>
        <w:szCs w:val="18"/>
        <w:lang w:val="pt-BR"/>
      </w:rPr>
      <w:t>2</w:t>
    </w:r>
    <w:r w:rsidR="00E217D4" w:rsidRPr="0055659E">
      <w:rPr>
        <w:rFonts w:ascii="Book Antiqua" w:hAnsi="Book Antiqua"/>
        <w:sz w:val="18"/>
        <w:szCs w:val="18"/>
        <w:lang w:val="pt-BR"/>
      </w:rPr>
      <w:t xml:space="preserve">: </w:t>
    </w:r>
    <w:r w:rsidR="00830A71" w:rsidRPr="0055659E">
      <w:rPr>
        <w:rFonts w:ascii="Book Antiqua" w:hAnsi="Book Antiqua"/>
        <w:sz w:val="18"/>
        <w:szCs w:val="18"/>
        <w:lang w:val="pt-BR"/>
      </w:rPr>
      <w:t>e</w:t>
    </w:r>
    <w:r w:rsidR="00D870E1" w:rsidRPr="0055659E">
      <w:rPr>
        <w:rFonts w:ascii="Book Antiqua" w:hAnsi="Book Antiqua"/>
        <w:sz w:val="18"/>
        <w:szCs w:val="18"/>
        <w:lang w:val="pt-BR"/>
      </w:rPr>
      <w:t>4</w:t>
    </w:r>
    <w:r w:rsidR="0055659E" w:rsidRPr="0055659E">
      <w:rPr>
        <w:rFonts w:ascii="Book Antiqua" w:hAnsi="Book Antiqua"/>
        <w:sz w:val="18"/>
        <w:szCs w:val="18"/>
        <w:lang w:val="pt-BR"/>
      </w:rPr>
      <w:t>68</w:t>
    </w:r>
    <w:r w:rsidR="00E217D4" w:rsidRPr="0055659E">
      <w:rPr>
        <w:rFonts w:ascii="Book Antiqua" w:hAnsi="Book Antiqua"/>
        <w:sz w:val="18"/>
        <w:szCs w:val="18"/>
        <w:lang w:val="pt-BR"/>
      </w:rPr>
      <w:t xml:space="preserve"> (202</w:t>
    </w:r>
    <w:r w:rsidR="00432842" w:rsidRPr="0055659E">
      <w:rPr>
        <w:rFonts w:ascii="Book Antiqua" w:hAnsi="Book Antiqua"/>
        <w:sz w:val="18"/>
        <w:szCs w:val="18"/>
        <w:lang w:val="pt-BR"/>
      </w:rPr>
      <w:t>6</w:t>
    </w:r>
    <w:r w:rsidR="00E217D4" w:rsidRPr="0055659E">
      <w:rPr>
        <w:rFonts w:ascii="Book Antiqua" w:hAnsi="Book Antiqua"/>
        <w:sz w:val="18"/>
        <w:szCs w:val="18"/>
        <w:lang w:val="pt-BR"/>
      </w:rPr>
      <w:t>)</w:t>
    </w:r>
    <w:r w:rsidR="00E217D4" w:rsidRPr="0055659E">
      <w:rPr>
        <w:rFonts w:ascii="Book Antiqua" w:hAnsi="Book Antiqua"/>
        <w:sz w:val="18"/>
        <w:szCs w:val="18"/>
        <w:lang w:val="pt-BR"/>
      </w:rPr>
      <w:tab/>
    </w:r>
    <w:r w:rsidR="00E217D4" w:rsidRPr="0055659E">
      <w:rPr>
        <w:rFonts w:ascii="Book Antiqua" w:hAnsi="Book Antiqua"/>
        <w:sz w:val="18"/>
        <w:szCs w:val="18"/>
        <w:lang w:val="pt-BR"/>
      </w:rPr>
      <w:tab/>
    </w:r>
    <w:r w:rsidR="00E217D4" w:rsidRPr="0055659E">
      <w:rPr>
        <w:rFonts w:ascii="Book Antiqua" w:hAnsi="Book Antiqua"/>
        <w:sz w:val="18"/>
        <w:szCs w:val="18"/>
        <w:lang w:val="pt-BR"/>
      </w:rPr>
      <w:tab/>
    </w:r>
    <w:r w:rsidR="00E217D4" w:rsidRPr="0055659E">
      <w:rPr>
        <w:rFonts w:ascii="Book Antiqua" w:hAnsi="Book Antiqua"/>
        <w:sz w:val="18"/>
        <w:szCs w:val="18"/>
        <w:lang w:val="pt-BR"/>
      </w:rPr>
      <w:tab/>
      <w:t xml:space="preserve">    </w:t>
    </w:r>
    <w:hyperlink r:id="rId3" w:history="1">
      <w:r w:rsidR="0055659E" w:rsidRPr="0055659E">
        <w:rPr>
          <w:rStyle w:val="Hipervnculo"/>
          <w:rFonts w:ascii="Book Antiqua" w:hAnsi="Book Antiqua"/>
          <w:sz w:val="18"/>
          <w:szCs w:val="18"/>
          <w:lang w:val="pt-BR"/>
        </w:rPr>
        <w:t>https://doi.org/10.55873/racs.v5i2.468</w:t>
      </w:r>
    </w:hyperlink>
    <w:r w:rsidR="00D870E1" w:rsidRPr="0039761C">
      <w:rPr>
        <w:rFonts w:ascii="Book Antiqua" w:hAnsi="Book Antiqua"/>
        <w:sz w:val="18"/>
        <w:szCs w:val="18"/>
        <w:lang w:val="pt-BR"/>
      </w:rPr>
      <w:t xml:space="preserve"> </w:t>
    </w:r>
    <w:r w:rsidR="00830A71" w:rsidRPr="0039761C">
      <w:rPr>
        <w:rFonts w:ascii="Book Antiqua" w:hAnsi="Book Antiqua"/>
        <w:sz w:val="18"/>
        <w:szCs w:val="18"/>
        <w:lang w:val="pt-BR"/>
      </w:rPr>
      <w:t xml:space="preserve"> </w:t>
    </w:r>
    <w:r w:rsidR="00E217D4" w:rsidRPr="0039761C">
      <w:rPr>
        <w:rFonts w:ascii="Book Antiqua" w:hAnsi="Book Antiqua"/>
        <w:sz w:val="18"/>
        <w:szCs w:val="18"/>
        <w:lang w:val="pt-BR"/>
      </w:rPr>
      <w:tab/>
      <w:t xml:space="preserve">    </w:t>
    </w:r>
  </w:p>
  <w:p w14:paraId="33D6B742" w14:textId="77777777" w:rsidR="00E217D4" w:rsidRPr="0039761C" w:rsidRDefault="00E217D4" w:rsidP="008F3AEB">
    <w:pPr>
      <w:spacing w:after="0" w:line="240" w:lineRule="auto"/>
      <w:rPr>
        <w:rFonts w:ascii="Book Antiqua" w:hAnsi="Book Antiqua"/>
        <w:sz w:val="18"/>
        <w:szCs w:val="18"/>
      </w:rPr>
    </w:pPr>
    <w:r w:rsidRPr="0039761C">
      <w:rPr>
        <w:rFonts w:ascii="Book Antiqua" w:hAnsi="Book Antiqua"/>
        <w:sz w:val="18"/>
        <w:szCs w:val="18"/>
      </w:rPr>
      <w:t>e-ISSN: 2810-8744</w:t>
    </w:r>
    <w:r w:rsidRPr="0039761C">
      <w:rPr>
        <w:rFonts w:ascii="Book Antiqua" w:hAnsi="Book Antiqua"/>
        <w:sz w:val="18"/>
        <w:szCs w:val="18"/>
      </w:rPr>
      <w:tab/>
    </w:r>
    <w:r w:rsidRPr="0039761C">
      <w:rPr>
        <w:rFonts w:ascii="Book Antiqua" w:hAnsi="Book Antiqua"/>
        <w:sz w:val="18"/>
        <w:szCs w:val="18"/>
      </w:rPr>
      <w:tab/>
    </w:r>
    <w:r w:rsidRPr="0039761C">
      <w:rPr>
        <w:rFonts w:ascii="Book Antiqua" w:hAnsi="Book Antiqua"/>
        <w:sz w:val="18"/>
        <w:szCs w:val="18"/>
      </w:rPr>
      <w:tab/>
    </w:r>
    <w:r w:rsidRPr="0039761C">
      <w:rPr>
        <w:rFonts w:ascii="Book Antiqua" w:hAnsi="Book Antiqua"/>
        <w:sz w:val="18"/>
        <w:szCs w:val="18"/>
      </w:rPr>
      <w:tab/>
    </w:r>
    <w:r w:rsidRPr="0039761C">
      <w:rPr>
        <w:rFonts w:ascii="Book Antiqua" w:hAnsi="Book Antiqua"/>
        <w:sz w:val="18"/>
        <w:szCs w:val="18"/>
      </w:rPr>
      <w:tab/>
    </w:r>
  </w:p>
  <w:p w14:paraId="4F413AEA" w14:textId="77777777" w:rsidR="00E217D4" w:rsidRPr="0034089A" w:rsidRDefault="00E217D4" w:rsidP="005A1915">
    <w:pPr>
      <w:pBdr>
        <w:bottom w:val="double" w:sz="6" w:space="0" w:color="auto"/>
      </w:pBdr>
      <w:spacing w:after="0" w:line="240" w:lineRule="auto"/>
      <w:rPr>
        <w:rStyle w:val="Hipervnculo"/>
        <w:sz w:val="20"/>
        <w:szCs w:val="20"/>
      </w:rPr>
    </w:pPr>
    <w:r w:rsidRPr="0039761C">
      <w:rPr>
        <w:rFonts w:ascii="Book Antiqua" w:hAnsi="Book Antiqua"/>
        <w:sz w:val="18"/>
        <w:szCs w:val="18"/>
      </w:rPr>
      <w:t>Universidad Nacional Amazónica de Madre de Dios</w:t>
    </w:r>
    <w:r w:rsidRPr="005A1915">
      <w:rPr>
        <w:rFonts w:ascii="Book Antiqua" w:hAnsi="Book Antiqua"/>
        <w:sz w:val="18"/>
        <w:szCs w:val="18"/>
      </w:rPr>
      <w:tab/>
    </w:r>
    <w:r w:rsidRPr="000508FE">
      <w:rPr>
        <w:sz w:val="20"/>
        <w:szCs w:val="20"/>
      </w:rPr>
      <w:tab/>
    </w:r>
    <w:r>
      <w:rPr>
        <w:sz w:val="20"/>
        <w:szCs w:val="20"/>
      </w:rPr>
      <w:t xml:space="preserve">                  </w:t>
    </w:r>
    <w:r w:rsidRPr="0034089A">
      <w:rPr>
        <w:sz w:val="20"/>
        <w:szCs w:val="20"/>
      </w:rPr>
      <w:fldChar w:fldCharType="begin"/>
    </w:r>
    <w:r w:rsidRPr="0034089A">
      <w:rPr>
        <w:sz w:val="20"/>
        <w:szCs w:val="20"/>
      </w:rPr>
      <w:instrText>HYPERLINK "https://doi.org/10.51252/rceyt.v1i1.269"</w:instrText>
    </w:r>
    <w:r w:rsidRPr="0034089A">
      <w:rPr>
        <w:sz w:val="20"/>
        <w:szCs w:val="20"/>
      </w:rPr>
    </w:r>
    <w:r w:rsidRPr="0034089A">
      <w:rPr>
        <w:sz w:val="20"/>
        <w:szCs w:val="20"/>
      </w:rPr>
      <w:fldChar w:fldCharType="separate"/>
    </w:r>
    <w:r w:rsidRPr="0034089A">
      <w:rPr>
        <w:rStyle w:val="Hipervnculo"/>
        <w:sz w:val="20"/>
        <w:szCs w:val="20"/>
      </w:rPr>
      <w:t xml:space="preserve"> </w:t>
    </w:r>
  </w:p>
  <w:p w14:paraId="147DF7FB" w14:textId="77777777" w:rsidR="00E217D4" w:rsidRPr="001B150C" w:rsidRDefault="00E217D4" w:rsidP="002B3672">
    <w:pPr>
      <w:spacing w:before="240" w:after="240"/>
      <w:jc w:val="right"/>
      <w:rPr>
        <w:rFonts w:ascii="Book Antiqua" w:hAnsi="Book Antiqua"/>
        <w:b/>
      </w:rPr>
    </w:pPr>
    <w:r w:rsidRPr="0034089A">
      <w:rPr>
        <w:sz w:val="20"/>
        <w:szCs w:val="20"/>
      </w:rPr>
      <w:fldChar w:fldCharType="end"/>
    </w:r>
    <w:r w:rsidRPr="0034089A">
      <w:tab/>
    </w:r>
    <w:r w:rsidRPr="0034089A">
      <w:tab/>
    </w:r>
    <w:bookmarkStart w:id="1" w:name="_Hlk210165227"/>
    <w:r w:rsidRPr="0034089A">
      <w:rPr>
        <w:rFonts w:ascii="Book Antiqua" w:hAnsi="Book Antiqua"/>
        <w:b/>
        <w:sz w:val="20"/>
      </w:rPr>
      <w:t>Artículo original / Original article</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97F8" w14:textId="27C9FE6F" w:rsidR="00853D53" w:rsidRPr="00776DB9" w:rsidRDefault="00605636" w:rsidP="00776DB9">
    <w:pPr>
      <w:pStyle w:val="Encabezado"/>
      <w:pBdr>
        <w:bottom w:val="single" w:sz="6" w:space="1" w:color="auto"/>
      </w:pBdr>
      <w:jc w:val="left"/>
      <w:rPr>
        <w:rFonts w:ascii="Book Antiqua" w:hAnsi="Book Antiqua"/>
        <w:sz w:val="20"/>
        <w:szCs w:val="20"/>
      </w:rPr>
    </w:pPr>
    <w:r w:rsidRPr="00605636">
      <w:rPr>
        <w:rFonts w:ascii="Book Antiqua" w:hAnsi="Book Antiqua"/>
        <w:sz w:val="16"/>
        <w:szCs w:val="16"/>
      </w:rPr>
      <w:t>Vera-Gutiérrez</w:t>
    </w:r>
    <w:r w:rsidR="00033F42">
      <w:rPr>
        <w:rFonts w:ascii="Book Antiqua" w:hAnsi="Book Antiqua"/>
        <w:sz w:val="16"/>
        <w:szCs w:val="16"/>
      </w:rPr>
      <w:t xml:space="preserve"> et al.</w:t>
    </w:r>
    <w:r w:rsidR="00E217D4" w:rsidRPr="0076421E">
      <w:rPr>
        <w:rFonts w:ascii="Book Antiqua" w:hAnsi="Book Antiqua"/>
        <w:sz w:val="16"/>
        <w:szCs w:val="16"/>
      </w:rPr>
      <w:tab/>
    </w:r>
    <w:r w:rsidR="00E217D4" w:rsidRPr="0076421E">
      <w:rPr>
        <w:rFonts w:ascii="Book Antiqua" w:hAnsi="Book Antiqua"/>
        <w:sz w:val="16"/>
        <w:szCs w:val="16"/>
      </w:rPr>
      <w:tab/>
    </w:r>
    <w:r w:rsidR="00E217D4" w:rsidRPr="0076421E">
      <w:rPr>
        <w:rFonts w:ascii="Book Antiqua" w:hAnsi="Book Antiqua"/>
        <w:sz w:val="20"/>
        <w:szCs w:val="20"/>
      </w:rPr>
      <w:t xml:space="preserve"> </w:t>
    </w:r>
    <w:r w:rsidR="00E217D4" w:rsidRPr="003343D0">
      <w:rPr>
        <w:rFonts w:ascii="Book Antiqua" w:hAnsi="Book Antiqua"/>
        <w:sz w:val="20"/>
        <w:szCs w:val="20"/>
      </w:rPr>
      <w:fldChar w:fldCharType="begin"/>
    </w:r>
    <w:r w:rsidR="00E217D4" w:rsidRPr="0076421E">
      <w:rPr>
        <w:rFonts w:ascii="Book Antiqua" w:hAnsi="Book Antiqua"/>
        <w:sz w:val="20"/>
        <w:szCs w:val="20"/>
      </w:rPr>
      <w:instrText>PAGE   \* MERGEFORMAT</w:instrText>
    </w:r>
    <w:r w:rsidR="00E217D4" w:rsidRPr="003343D0">
      <w:rPr>
        <w:rFonts w:ascii="Book Antiqua" w:hAnsi="Book Antiqua"/>
        <w:sz w:val="20"/>
        <w:szCs w:val="20"/>
      </w:rPr>
      <w:fldChar w:fldCharType="separate"/>
    </w:r>
    <w:r w:rsidR="002C6092" w:rsidRPr="0076421E">
      <w:rPr>
        <w:rFonts w:ascii="Book Antiqua" w:hAnsi="Book Antiqua"/>
        <w:noProof/>
        <w:sz w:val="20"/>
        <w:szCs w:val="20"/>
      </w:rPr>
      <w:t>13</w:t>
    </w:r>
    <w:r w:rsidR="00E217D4" w:rsidRPr="003343D0">
      <w:rPr>
        <w:rFonts w:ascii="Book Antiqua" w:hAnsi="Book Antiqua"/>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3319"/>
    <w:multiLevelType w:val="hybridMultilevel"/>
    <w:tmpl w:val="38C069CE"/>
    <w:lvl w:ilvl="0" w:tplc="973EB9B0">
      <w:start w:val="10"/>
      <w:numFmt w:val="bullet"/>
      <w:lvlText w:val=""/>
      <w:lvlJc w:val="left"/>
      <w:pPr>
        <w:ind w:left="786" w:hanging="360"/>
      </w:pPr>
      <w:rPr>
        <w:rFonts w:ascii="Symbol" w:eastAsia="Calibri" w:hAnsi="Symbol" w:cs="Times New Roman"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1" w15:restartNumberingAfterBreak="0">
    <w:nsid w:val="08BB0C8B"/>
    <w:multiLevelType w:val="hybridMultilevel"/>
    <w:tmpl w:val="CF1C04F6"/>
    <w:lvl w:ilvl="0" w:tplc="CFE8A7A2">
      <w:start w:val="1"/>
      <w:numFmt w:val="lowerLetter"/>
      <w:pStyle w:val="aLetraBlack"/>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E56BB3"/>
    <w:multiLevelType w:val="hybridMultilevel"/>
    <w:tmpl w:val="0DE21724"/>
    <w:lvl w:ilvl="0" w:tplc="280A0019">
      <w:start w:val="1"/>
      <w:numFmt w:val="lowerLetter"/>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 w15:restartNumberingAfterBreak="0">
    <w:nsid w:val="1BC22763"/>
    <w:multiLevelType w:val="multilevel"/>
    <w:tmpl w:val="9606CA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2F14E5"/>
    <w:multiLevelType w:val="hybridMultilevel"/>
    <w:tmpl w:val="AB7C3A30"/>
    <w:lvl w:ilvl="0" w:tplc="62FCBE12">
      <w:numFmt w:val="bullet"/>
      <w:lvlText w:val="-"/>
      <w:lvlJc w:val="left"/>
      <w:pPr>
        <w:ind w:left="720" w:hanging="360"/>
      </w:pPr>
      <w:rPr>
        <w:rFonts w:ascii="Gill Sans MT" w:eastAsia="Calibri" w:hAnsi="Gill Sans M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AB940D1"/>
    <w:multiLevelType w:val="hybridMultilevel"/>
    <w:tmpl w:val="8764B242"/>
    <w:lvl w:ilvl="0" w:tplc="BFE06BD0">
      <w:start w:val="3"/>
      <w:numFmt w:val="bullet"/>
      <w:lvlText w:val="-"/>
      <w:lvlJc w:val="left"/>
      <w:pPr>
        <w:ind w:left="720" w:hanging="360"/>
      </w:pPr>
      <w:rPr>
        <w:rFonts w:ascii="Baskerville Old Face" w:eastAsia="Times New Roman" w:hAnsi="Baskerville Old Fac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9F5FF7"/>
    <w:multiLevelType w:val="multilevel"/>
    <w:tmpl w:val="E04C7DF6"/>
    <w:lvl w:ilvl="0">
      <w:start w:val="1"/>
      <w:numFmt w:val="decimal"/>
      <w:lvlText w:val="%1"/>
      <w:lvlJc w:val="left"/>
      <w:pPr>
        <w:ind w:left="360" w:hanging="360"/>
      </w:pPr>
      <w:rPr>
        <w:rFonts w:hint="default"/>
      </w:rPr>
    </w:lvl>
    <w:lvl w:ilvl="1">
      <w:start w:val="1"/>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8875325"/>
    <w:multiLevelType w:val="multilevel"/>
    <w:tmpl w:val="D0F2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7804B3"/>
    <w:multiLevelType w:val="hybridMultilevel"/>
    <w:tmpl w:val="E39A41CA"/>
    <w:lvl w:ilvl="0" w:tplc="62FCBE12">
      <w:numFmt w:val="bullet"/>
      <w:lvlText w:val="-"/>
      <w:lvlJc w:val="left"/>
      <w:pPr>
        <w:ind w:left="720" w:hanging="360"/>
      </w:pPr>
      <w:rPr>
        <w:rFonts w:ascii="Gill Sans MT" w:eastAsia="Calibri" w:hAnsi="Gill Sans M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F0E4CD5"/>
    <w:multiLevelType w:val="hybridMultilevel"/>
    <w:tmpl w:val="443C2D8A"/>
    <w:lvl w:ilvl="0" w:tplc="62FCBE12">
      <w:numFmt w:val="bullet"/>
      <w:lvlText w:val="-"/>
      <w:lvlJc w:val="left"/>
      <w:pPr>
        <w:ind w:left="720" w:hanging="360"/>
      </w:pPr>
      <w:rPr>
        <w:rFonts w:ascii="Gill Sans MT" w:eastAsia="Calibri" w:hAnsi="Gill Sans M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5DF4DDA"/>
    <w:multiLevelType w:val="hybridMultilevel"/>
    <w:tmpl w:val="FBB4CE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A015EC3"/>
    <w:multiLevelType w:val="hybridMultilevel"/>
    <w:tmpl w:val="AA2038EC"/>
    <w:lvl w:ilvl="0" w:tplc="9528AE7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BCF1953"/>
    <w:multiLevelType w:val="hybridMultilevel"/>
    <w:tmpl w:val="82404B30"/>
    <w:lvl w:ilvl="0" w:tplc="62FCBE12">
      <w:numFmt w:val="bullet"/>
      <w:lvlText w:val="-"/>
      <w:lvlJc w:val="left"/>
      <w:pPr>
        <w:ind w:left="720" w:hanging="360"/>
      </w:pPr>
      <w:rPr>
        <w:rFonts w:ascii="Gill Sans MT" w:eastAsia="Calibri" w:hAnsi="Gill Sans M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D5A2B21"/>
    <w:multiLevelType w:val="multilevel"/>
    <w:tmpl w:val="7D98B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7717B"/>
    <w:multiLevelType w:val="hybridMultilevel"/>
    <w:tmpl w:val="7E24A18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5805F28"/>
    <w:multiLevelType w:val="hybridMultilevel"/>
    <w:tmpl w:val="A42830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65663C7"/>
    <w:multiLevelType w:val="hybridMultilevel"/>
    <w:tmpl w:val="46ACB104"/>
    <w:lvl w:ilvl="0" w:tplc="280A0005">
      <w:start w:val="1"/>
      <w:numFmt w:val="bullet"/>
      <w:lvlText w:val=""/>
      <w:lvlJc w:val="left"/>
      <w:pPr>
        <w:ind w:left="786" w:hanging="360"/>
      </w:pPr>
      <w:rPr>
        <w:rFonts w:ascii="Wingdings" w:hAnsi="Wingdings"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17" w15:restartNumberingAfterBreak="0">
    <w:nsid w:val="61803FB0"/>
    <w:multiLevelType w:val="hybridMultilevel"/>
    <w:tmpl w:val="11FE938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4F60404"/>
    <w:multiLevelType w:val="multilevel"/>
    <w:tmpl w:val="2B4A14C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68832DAE"/>
    <w:multiLevelType w:val="hybridMultilevel"/>
    <w:tmpl w:val="FC5E2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4347EC"/>
    <w:multiLevelType w:val="hybridMultilevel"/>
    <w:tmpl w:val="720490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D940A0B"/>
    <w:multiLevelType w:val="hybridMultilevel"/>
    <w:tmpl w:val="A6B05DD6"/>
    <w:lvl w:ilvl="0" w:tplc="5DACE1C8">
      <w:start w:val="1"/>
      <w:numFmt w:val="lowerLetter"/>
      <w:lvlText w:val="%1."/>
      <w:lvlJc w:val="left"/>
      <w:pPr>
        <w:ind w:left="720" w:hanging="360"/>
      </w:pPr>
      <w:rPr>
        <w:rFonts w:ascii="Book Antiqua" w:eastAsia="Calibri"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C6207F"/>
    <w:multiLevelType w:val="hybridMultilevel"/>
    <w:tmpl w:val="AD8A1FF8"/>
    <w:lvl w:ilvl="0" w:tplc="F3E2C80C">
      <w:start w:val="1"/>
      <w:numFmt w:val="lowerLetter"/>
      <w:lvlText w:val="%1."/>
      <w:lvlJc w:val="left"/>
      <w:pPr>
        <w:ind w:left="720" w:hanging="360"/>
      </w:pPr>
      <w:rPr>
        <w:rFonts w:ascii="Book Antiqua" w:eastAsia="Calibri"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563246"/>
    <w:multiLevelType w:val="hybridMultilevel"/>
    <w:tmpl w:val="A544B920"/>
    <w:lvl w:ilvl="0" w:tplc="62FCBE12">
      <w:numFmt w:val="bullet"/>
      <w:lvlText w:val="-"/>
      <w:lvlJc w:val="left"/>
      <w:pPr>
        <w:ind w:left="720" w:hanging="360"/>
      </w:pPr>
      <w:rPr>
        <w:rFonts w:ascii="Gill Sans MT" w:eastAsia="Calibri" w:hAnsi="Gill Sans M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FBC4049"/>
    <w:multiLevelType w:val="hybridMultilevel"/>
    <w:tmpl w:val="95E8552C"/>
    <w:lvl w:ilvl="0" w:tplc="67686FBA">
      <w:numFmt w:val="bullet"/>
      <w:lvlText w:val="-"/>
      <w:lvlJc w:val="left"/>
      <w:rPr>
        <w:rFonts w:ascii="Arial" w:eastAsia="Calibri" w:hAnsi="Arial" w:cs="Aria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25" w15:restartNumberingAfterBreak="0">
    <w:nsid w:val="75BE468E"/>
    <w:multiLevelType w:val="hybridMultilevel"/>
    <w:tmpl w:val="00D4070E"/>
    <w:lvl w:ilvl="0" w:tplc="62FCBE12">
      <w:numFmt w:val="bullet"/>
      <w:lvlText w:val="-"/>
      <w:lvlJc w:val="left"/>
      <w:pPr>
        <w:ind w:left="720" w:hanging="360"/>
      </w:pPr>
      <w:rPr>
        <w:rFonts w:ascii="Gill Sans MT" w:eastAsia="Calibri" w:hAnsi="Gill Sans M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F3B483C"/>
    <w:multiLevelType w:val="hybridMultilevel"/>
    <w:tmpl w:val="C57CA5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17202542">
    <w:abstractNumId w:val="20"/>
  </w:num>
  <w:num w:numId="2" w16cid:durableId="20515998">
    <w:abstractNumId w:val="18"/>
  </w:num>
  <w:num w:numId="3" w16cid:durableId="693461404">
    <w:abstractNumId w:val="0"/>
  </w:num>
  <w:num w:numId="4" w16cid:durableId="51854960">
    <w:abstractNumId w:val="16"/>
  </w:num>
  <w:num w:numId="5" w16cid:durableId="741104569">
    <w:abstractNumId w:val="9"/>
  </w:num>
  <w:num w:numId="6" w16cid:durableId="1207449015">
    <w:abstractNumId w:val="22"/>
  </w:num>
  <w:num w:numId="7" w16cid:durableId="808785080">
    <w:abstractNumId w:val="21"/>
  </w:num>
  <w:num w:numId="8" w16cid:durableId="59789525">
    <w:abstractNumId w:val="19"/>
  </w:num>
  <w:num w:numId="9" w16cid:durableId="1287278815">
    <w:abstractNumId w:val="1"/>
  </w:num>
  <w:num w:numId="10" w16cid:durableId="1352949533">
    <w:abstractNumId w:val="24"/>
  </w:num>
  <w:num w:numId="11" w16cid:durableId="523791046">
    <w:abstractNumId w:val="12"/>
  </w:num>
  <w:num w:numId="12" w16cid:durableId="283390410">
    <w:abstractNumId w:val="23"/>
  </w:num>
  <w:num w:numId="13" w16cid:durableId="1376613178">
    <w:abstractNumId w:val="8"/>
  </w:num>
  <w:num w:numId="14" w16cid:durableId="70589920">
    <w:abstractNumId w:val="17"/>
  </w:num>
  <w:num w:numId="15" w16cid:durableId="1665736833">
    <w:abstractNumId w:val="26"/>
  </w:num>
  <w:num w:numId="16" w16cid:durableId="326596564">
    <w:abstractNumId w:val="25"/>
  </w:num>
  <w:num w:numId="17" w16cid:durableId="678192678">
    <w:abstractNumId w:val="4"/>
  </w:num>
  <w:num w:numId="18" w16cid:durableId="1524594926">
    <w:abstractNumId w:val="6"/>
  </w:num>
  <w:num w:numId="19" w16cid:durableId="1874027177">
    <w:abstractNumId w:val="5"/>
  </w:num>
  <w:num w:numId="20" w16cid:durableId="2128623294">
    <w:abstractNumId w:val="2"/>
  </w:num>
  <w:num w:numId="21" w16cid:durableId="1742824471">
    <w:abstractNumId w:val="15"/>
  </w:num>
  <w:num w:numId="22" w16cid:durableId="1279600626">
    <w:abstractNumId w:val="10"/>
  </w:num>
  <w:num w:numId="23" w16cid:durableId="1310786787">
    <w:abstractNumId w:val="11"/>
  </w:num>
  <w:num w:numId="24" w16cid:durableId="1743748624">
    <w:abstractNumId w:val="7"/>
  </w:num>
  <w:num w:numId="25" w16cid:durableId="1771973398">
    <w:abstractNumId w:val="13"/>
  </w:num>
  <w:num w:numId="26" w16cid:durableId="1928418048">
    <w:abstractNumId w:val="14"/>
  </w:num>
  <w:num w:numId="27" w16cid:durableId="1055012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F12"/>
    <w:rsid w:val="00002146"/>
    <w:rsid w:val="0000272F"/>
    <w:rsid w:val="00002871"/>
    <w:rsid w:val="0000443B"/>
    <w:rsid w:val="00007D07"/>
    <w:rsid w:val="000106F5"/>
    <w:rsid w:val="000107DF"/>
    <w:rsid w:val="000109D6"/>
    <w:rsid w:val="00011956"/>
    <w:rsid w:val="000136FF"/>
    <w:rsid w:val="00013BB4"/>
    <w:rsid w:val="00013C70"/>
    <w:rsid w:val="00015198"/>
    <w:rsid w:val="00017D93"/>
    <w:rsid w:val="00020634"/>
    <w:rsid w:val="00021213"/>
    <w:rsid w:val="00022CBE"/>
    <w:rsid w:val="00023150"/>
    <w:rsid w:val="000239DF"/>
    <w:rsid w:val="00025D7B"/>
    <w:rsid w:val="00026A0E"/>
    <w:rsid w:val="00026DD4"/>
    <w:rsid w:val="00027145"/>
    <w:rsid w:val="000276B3"/>
    <w:rsid w:val="000278A7"/>
    <w:rsid w:val="00030099"/>
    <w:rsid w:val="00030864"/>
    <w:rsid w:val="00033017"/>
    <w:rsid w:val="000336D3"/>
    <w:rsid w:val="00033F42"/>
    <w:rsid w:val="000345DD"/>
    <w:rsid w:val="00035218"/>
    <w:rsid w:val="00035CB6"/>
    <w:rsid w:val="00037CC5"/>
    <w:rsid w:val="000409B5"/>
    <w:rsid w:val="000432B7"/>
    <w:rsid w:val="00043840"/>
    <w:rsid w:val="000443DF"/>
    <w:rsid w:val="00044898"/>
    <w:rsid w:val="000466EC"/>
    <w:rsid w:val="000508FE"/>
    <w:rsid w:val="000513AA"/>
    <w:rsid w:val="000520C1"/>
    <w:rsid w:val="000533D6"/>
    <w:rsid w:val="0006066D"/>
    <w:rsid w:val="00062734"/>
    <w:rsid w:val="00063492"/>
    <w:rsid w:val="000715BF"/>
    <w:rsid w:val="000717BA"/>
    <w:rsid w:val="00071D9B"/>
    <w:rsid w:val="000743F8"/>
    <w:rsid w:val="00074C87"/>
    <w:rsid w:val="00075D6A"/>
    <w:rsid w:val="00076110"/>
    <w:rsid w:val="000777B6"/>
    <w:rsid w:val="00077991"/>
    <w:rsid w:val="00080A57"/>
    <w:rsid w:val="00080D5F"/>
    <w:rsid w:val="00084F10"/>
    <w:rsid w:val="000858AD"/>
    <w:rsid w:val="00085969"/>
    <w:rsid w:val="0008707B"/>
    <w:rsid w:val="00087710"/>
    <w:rsid w:val="000900EC"/>
    <w:rsid w:val="00091456"/>
    <w:rsid w:val="00091F78"/>
    <w:rsid w:val="0009220D"/>
    <w:rsid w:val="0009396D"/>
    <w:rsid w:val="00093EEC"/>
    <w:rsid w:val="000942D1"/>
    <w:rsid w:val="00094322"/>
    <w:rsid w:val="00095391"/>
    <w:rsid w:val="000967A2"/>
    <w:rsid w:val="00096D7E"/>
    <w:rsid w:val="00097C0B"/>
    <w:rsid w:val="00097E33"/>
    <w:rsid w:val="000A0935"/>
    <w:rsid w:val="000A1FE8"/>
    <w:rsid w:val="000A2C12"/>
    <w:rsid w:val="000A36D3"/>
    <w:rsid w:val="000A3DC9"/>
    <w:rsid w:val="000A59CA"/>
    <w:rsid w:val="000A6455"/>
    <w:rsid w:val="000A73DD"/>
    <w:rsid w:val="000A762F"/>
    <w:rsid w:val="000B0CAA"/>
    <w:rsid w:val="000B2F33"/>
    <w:rsid w:val="000B30F9"/>
    <w:rsid w:val="000B48BA"/>
    <w:rsid w:val="000B5B69"/>
    <w:rsid w:val="000C0179"/>
    <w:rsid w:val="000C02F0"/>
    <w:rsid w:val="000C1629"/>
    <w:rsid w:val="000C44B2"/>
    <w:rsid w:val="000C6AE9"/>
    <w:rsid w:val="000C79AF"/>
    <w:rsid w:val="000D0A3B"/>
    <w:rsid w:val="000D1CE0"/>
    <w:rsid w:val="000D25AC"/>
    <w:rsid w:val="000D287C"/>
    <w:rsid w:val="000D2D22"/>
    <w:rsid w:val="000D34ED"/>
    <w:rsid w:val="000D4E84"/>
    <w:rsid w:val="000D5362"/>
    <w:rsid w:val="000D5DFF"/>
    <w:rsid w:val="000D6706"/>
    <w:rsid w:val="000D71D2"/>
    <w:rsid w:val="000D77BD"/>
    <w:rsid w:val="000E000F"/>
    <w:rsid w:val="000E03AE"/>
    <w:rsid w:val="000E0440"/>
    <w:rsid w:val="000E0D5E"/>
    <w:rsid w:val="000E3497"/>
    <w:rsid w:val="000E3755"/>
    <w:rsid w:val="000E3756"/>
    <w:rsid w:val="000E3EA4"/>
    <w:rsid w:val="000E4F6A"/>
    <w:rsid w:val="000E5503"/>
    <w:rsid w:val="000E5712"/>
    <w:rsid w:val="000E57F7"/>
    <w:rsid w:val="000E599E"/>
    <w:rsid w:val="000E6257"/>
    <w:rsid w:val="000E7F79"/>
    <w:rsid w:val="000F4824"/>
    <w:rsid w:val="000F4B25"/>
    <w:rsid w:val="000F6457"/>
    <w:rsid w:val="000F7565"/>
    <w:rsid w:val="00101648"/>
    <w:rsid w:val="00101F17"/>
    <w:rsid w:val="00103637"/>
    <w:rsid w:val="001038A0"/>
    <w:rsid w:val="00103A48"/>
    <w:rsid w:val="00104439"/>
    <w:rsid w:val="00104595"/>
    <w:rsid w:val="001068F1"/>
    <w:rsid w:val="00106B1E"/>
    <w:rsid w:val="00106C51"/>
    <w:rsid w:val="00106C8E"/>
    <w:rsid w:val="00111071"/>
    <w:rsid w:val="001121A4"/>
    <w:rsid w:val="001149ED"/>
    <w:rsid w:val="00116DD7"/>
    <w:rsid w:val="001174FE"/>
    <w:rsid w:val="0012108F"/>
    <w:rsid w:val="001225D5"/>
    <w:rsid w:val="00122607"/>
    <w:rsid w:val="00122FFC"/>
    <w:rsid w:val="00125A28"/>
    <w:rsid w:val="00125DF7"/>
    <w:rsid w:val="0012792C"/>
    <w:rsid w:val="001301D6"/>
    <w:rsid w:val="0013033A"/>
    <w:rsid w:val="00131542"/>
    <w:rsid w:val="0013191E"/>
    <w:rsid w:val="0013304C"/>
    <w:rsid w:val="00133F05"/>
    <w:rsid w:val="00135B16"/>
    <w:rsid w:val="001361B6"/>
    <w:rsid w:val="00137356"/>
    <w:rsid w:val="00140905"/>
    <w:rsid w:val="00141BAD"/>
    <w:rsid w:val="001426EC"/>
    <w:rsid w:val="00142A8F"/>
    <w:rsid w:val="00142CE1"/>
    <w:rsid w:val="00150F30"/>
    <w:rsid w:val="0015139E"/>
    <w:rsid w:val="001536A8"/>
    <w:rsid w:val="00156A54"/>
    <w:rsid w:val="001602BE"/>
    <w:rsid w:val="0016057F"/>
    <w:rsid w:val="001613FF"/>
    <w:rsid w:val="00162CB9"/>
    <w:rsid w:val="00163349"/>
    <w:rsid w:val="0016697E"/>
    <w:rsid w:val="00170227"/>
    <w:rsid w:val="00170892"/>
    <w:rsid w:val="0017295D"/>
    <w:rsid w:val="0017394A"/>
    <w:rsid w:val="00174A12"/>
    <w:rsid w:val="001761B3"/>
    <w:rsid w:val="0017691F"/>
    <w:rsid w:val="00177B9B"/>
    <w:rsid w:val="00180848"/>
    <w:rsid w:val="00182625"/>
    <w:rsid w:val="00183948"/>
    <w:rsid w:val="00186DCA"/>
    <w:rsid w:val="0018742B"/>
    <w:rsid w:val="001876E5"/>
    <w:rsid w:val="00187860"/>
    <w:rsid w:val="001903A8"/>
    <w:rsid w:val="0019141E"/>
    <w:rsid w:val="00192D2B"/>
    <w:rsid w:val="00195059"/>
    <w:rsid w:val="001954A1"/>
    <w:rsid w:val="00196641"/>
    <w:rsid w:val="00197BA0"/>
    <w:rsid w:val="00197D4F"/>
    <w:rsid w:val="001A0ADE"/>
    <w:rsid w:val="001A0FE8"/>
    <w:rsid w:val="001A154E"/>
    <w:rsid w:val="001A2B77"/>
    <w:rsid w:val="001A4EB1"/>
    <w:rsid w:val="001A5A66"/>
    <w:rsid w:val="001A5F86"/>
    <w:rsid w:val="001A661B"/>
    <w:rsid w:val="001B0437"/>
    <w:rsid w:val="001B150C"/>
    <w:rsid w:val="001B2B92"/>
    <w:rsid w:val="001B4A0E"/>
    <w:rsid w:val="001B735C"/>
    <w:rsid w:val="001C03D9"/>
    <w:rsid w:val="001C1261"/>
    <w:rsid w:val="001C286F"/>
    <w:rsid w:val="001C3AE8"/>
    <w:rsid w:val="001C4A10"/>
    <w:rsid w:val="001D0836"/>
    <w:rsid w:val="001D513C"/>
    <w:rsid w:val="001D6A5A"/>
    <w:rsid w:val="001E18F4"/>
    <w:rsid w:val="001E41C2"/>
    <w:rsid w:val="001E5088"/>
    <w:rsid w:val="001E6C14"/>
    <w:rsid w:val="001F1B86"/>
    <w:rsid w:val="001F2A7E"/>
    <w:rsid w:val="001F5C06"/>
    <w:rsid w:val="001F68D1"/>
    <w:rsid w:val="001F6C0C"/>
    <w:rsid w:val="00200F91"/>
    <w:rsid w:val="002022F3"/>
    <w:rsid w:val="00203C50"/>
    <w:rsid w:val="002041CD"/>
    <w:rsid w:val="00204B07"/>
    <w:rsid w:val="00205A91"/>
    <w:rsid w:val="00207AD3"/>
    <w:rsid w:val="002114A2"/>
    <w:rsid w:val="00212039"/>
    <w:rsid w:val="00216DF4"/>
    <w:rsid w:val="00217BC5"/>
    <w:rsid w:val="00222F67"/>
    <w:rsid w:val="00224E4C"/>
    <w:rsid w:val="00226214"/>
    <w:rsid w:val="00232F3D"/>
    <w:rsid w:val="002339F9"/>
    <w:rsid w:val="00234366"/>
    <w:rsid w:val="00235ADF"/>
    <w:rsid w:val="002362A6"/>
    <w:rsid w:val="00236342"/>
    <w:rsid w:val="002366AC"/>
    <w:rsid w:val="002378EF"/>
    <w:rsid w:val="002429A8"/>
    <w:rsid w:val="00242C52"/>
    <w:rsid w:val="0024435A"/>
    <w:rsid w:val="00244D14"/>
    <w:rsid w:val="0024583D"/>
    <w:rsid w:val="00245DCE"/>
    <w:rsid w:val="00246ED5"/>
    <w:rsid w:val="00247387"/>
    <w:rsid w:val="00250D56"/>
    <w:rsid w:val="00251413"/>
    <w:rsid w:val="00253A92"/>
    <w:rsid w:val="00253CA8"/>
    <w:rsid w:val="00257584"/>
    <w:rsid w:val="002575F5"/>
    <w:rsid w:val="002643EB"/>
    <w:rsid w:val="0026452E"/>
    <w:rsid w:val="00265858"/>
    <w:rsid w:val="00267BCC"/>
    <w:rsid w:val="0027250D"/>
    <w:rsid w:val="002757AE"/>
    <w:rsid w:val="0027612E"/>
    <w:rsid w:val="002764E1"/>
    <w:rsid w:val="00276EDE"/>
    <w:rsid w:val="00277193"/>
    <w:rsid w:val="0028143E"/>
    <w:rsid w:val="0028170E"/>
    <w:rsid w:val="00282A89"/>
    <w:rsid w:val="00282D25"/>
    <w:rsid w:val="00283609"/>
    <w:rsid w:val="0028442B"/>
    <w:rsid w:val="002852B4"/>
    <w:rsid w:val="00286108"/>
    <w:rsid w:val="0028634E"/>
    <w:rsid w:val="00286964"/>
    <w:rsid w:val="00287FB8"/>
    <w:rsid w:val="00291139"/>
    <w:rsid w:val="002911FB"/>
    <w:rsid w:val="0029198D"/>
    <w:rsid w:val="00291E6D"/>
    <w:rsid w:val="002921C1"/>
    <w:rsid w:val="00294149"/>
    <w:rsid w:val="00294977"/>
    <w:rsid w:val="00297752"/>
    <w:rsid w:val="0029788C"/>
    <w:rsid w:val="002A18BD"/>
    <w:rsid w:val="002A3287"/>
    <w:rsid w:val="002A416C"/>
    <w:rsid w:val="002A420F"/>
    <w:rsid w:val="002A4598"/>
    <w:rsid w:val="002A5C1F"/>
    <w:rsid w:val="002B3672"/>
    <w:rsid w:val="002B5749"/>
    <w:rsid w:val="002B6A0E"/>
    <w:rsid w:val="002B6E56"/>
    <w:rsid w:val="002B7E40"/>
    <w:rsid w:val="002C0F42"/>
    <w:rsid w:val="002C211F"/>
    <w:rsid w:val="002C5398"/>
    <w:rsid w:val="002C6092"/>
    <w:rsid w:val="002C6A91"/>
    <w:rsid w:val="002C781B"/>
    <w:rsid w:val="002D19F1"/>
    <w:rsid w:val="002D2B4F"/>
    <w:rsid w:val="002D33D8"/>
    <w:rsid w:val="002D4240"/>
    <w:rsid w:val="002D568B"/>
    <w:rsid w:val="002D58BC"/>
    <w:rsid w:val="002D58D7"/>
    <w:rsid w:val="002D6525"/>
    <w:rsid w:val="002D703F"/>
    <w:rsid w:val="002D752F"/>
    <w:rsid w:val="002E0A18"/>
    <w:rsid w:val="002E17EF"/>
    <w:rsid w:val="002E1F40"/>
    <w:rsid w:val="002E2BB0"/>
    <w:rsid w:val="002E2C63"/>
    <w:rsid w:val="002E2E26"/>
    <w:rsid w:val="002E36E6"/>
    <w:rsid w:val="002E4805"/>
    <w:rsid w:val="002E5263"/>
    <w:rsid w:val="002E6113"/>
    <w:rsid w:val="002E6379"/>
    <w:rsid w:val="002E63A0"/>
    <w:rsid w:val="002E64AC"/>
    <w:rsid w:val="002F0697"/>
    <w:rsid w:val="002F26BD"/>
    <w:rsid w:val="002F2E11"/>
    <w:rsid w:val="002F31C2"/>
    <w:rsid w:val="002F3C8A"/>
    <w:rsid w:val="002F3F4B"/>
    <w:rsid w:val="002F536D"/>
    <w:rsid w:val="002F576C"/>
    <w:rsid w:val="002F6BAC"/>
    <w:rsid w:val="003002A0"/>
    <w:rsid w:val="00300A47"/>
    <w:rsid w:val="003036D9"/>
    <w:rsid w:val="0030408E"/>
    <w:rsid w:val="00304BC3"/>
    <w:rsid w:val="003053AB"/>
    <w:rsid w:val="00307C72"/>
    <w:rsid w:val="003108A6"/>
    <w:rsid w:val="003117AB"/>
    <w:rsid w:val="0031346F"/>
    <w:rsid w:val="003164E6"/>
    <w:rsid w:val="00316A11"/>
    <w:rsid w:val="00320C18"/>
    <w:rsid w:val="00321111"/>
    <w:rsid w:val="00321673"/>
    <w:rsid w:val="00323C9A"/>
    <w:rsid w:val="00327567"/>
    <w:rsid w:val="00330B31"/>
    <w:rsid w:val="00330D96"/>
    <w:rsid w:val="003315B7"/>
    <w:rsid w:val="003317CA"/>
    <w:rsid w:val="00331B64"/>
    <w:rsid w:val="003326CA"/>
    <w:rsid w:val="003336D8"/>
    <w:rsid w:val="003343D0"/>
    <w:rsid w:val="00334F20"/>
    <w:rsid w:val="003361FE"/>
    <w:rsid w:val="00336B1E"/>
    <w:rsid w:val="00336E2B"/>
    <w:rsid w:val="00340345"/>
    <w:rsid w:val="0034089A"/>
    <w:rsid w:val="00340BB3"/>
    <w:rsid w:val="003416CE"/>
    <w:rsid w:val="00342921"/>
    <w:rsid w:val="00342ED7"/>
    <w:rsid w:val="00343636"/>
    <w:rsid w:val="00343A1D"/>
    <w:rsid w:val="00346A7F"/>
    <w:rsid w:val="003477CF"/>
    <w:rsid w:val="003479A6"/>
    <w:rsid w:val="00347FAF"/>
    <w:rsid w:val="00350012"/>
    <w:rsid w:val="00351025"/>
    <w:rsid w:val="00353FD1"/>
    <w:rsid w:val="0035530E"/>
    <w:rsid w:val="003553F6"/>
    <w:rsid w:val="0035619F"/>
    <w:rsid w:val="0036188F"/>
    <w:rsid w:val="00362472"/>
    <w:rsid w:val="003625D3"/>
    <w:rsid w:val="0036266D"/>
    <w:rsid w:val="00363B88"/>
    <w:rsid w:val="003650C9"/>
    <w:rsid w:val="0036650A"/>
    <w:rsid w:val="00367024"/>
    <w:rsid w:val="00370E2D"/>
    <w:rsid w:val="0037152D"/>
    <w:rsid w:val="0037161A"/>
    <w:rsid w:val="0037281B"/>
    <w:rsid w:val="00373D92"/>
    <w:rsid w:val="00375079"/>
    <w:rsid w:val="003768FC"/>
    <w:rsid w:val="00377963"/>
    <w:rsid w:val="003809DF"/>
    <w:rsid w:val="00382EF1"/>
    <w:rsid w:val="003835B0"/>
    <w:rsid w:val="0038544C"/>
    <w:rsid w:val="0038560C"/>
    <w:rsid w:val="00386786"/>
    <w:rsid w:val="00386EA6"/>
    <w:rsid w:val="00390046"/>
    <w:rsid w:val="0039080E"/>
    <w:rsid w:val="00390A63"/>
    <w:rsid w:val="00393541"/>
    <w:rsid w:val="0039439D"/>
    <w:rsid w:val="00395C59"/>
    <w:rsid w:val="00397115"/>
    <w:rsid w:val="0039761C"/>
    <w:rsid w:val="00397718"/>
    <w:rsid w:val="003A6A00"/>
    <w:rsid w:val="003A79DB"/>
    <w:rsid w:val="003B0612"/>
    <w:rsid w:val="003B0E15"/>
    <w:rsid w:val="003B2597"/>
    <w:rsid w:val="003B3051"/>
    <w:rsid w:val="003B3BDB"/>
    <w:rsid w:val="003B614B"/>
    <w:rsid w:val="003B7A86"/>
    <w:rsid w:val="003B7EBC"/>
    <w:rsid w:val="003C0DBC"/>
    <w:rsid w:val="003C212A"/>
    <w:rsid w:val="003C428F"/>
    <w:rsid w:val="003C4565"/>
    <w:rsid w:val="003C4BCB"/>
    <w:rsid w:val="003C5D62"/>
    <w:rsid w:val="003C659C"/>
    <w:rsid w:val="003C6840"/>
    <w:rsid w:val="003C693D"/>
    <w:rsid w:val="003C7269"/>
    <w:rsid w:val="003C7A6E"/>
    <w:rsid w:val="003D2029"/>
    <w:rsid w:val="003D3F15"/>
    <w:rsid w:val="003D56B2"/>
    <w:rsid w:val="003D676E"/>
    <w:rsid w:val="003D6789"/>
    <w:rsid w:val="003D684D"/>
    <w:rsid w:val="003D797F"/>
    <w:rsid w:val="003E3CD5"/>
    <w:rsid w:val="003E478C"/>
    <w:rsid w:val="003E611D"/>
    <w:rsid w:val="003E701A"/>
    <w:rsid w:val="003E7328"/>
    <w:rsid w:val="003F039F"/>
    <w:rsid w:val="003F0C99"/>
    <w:rsid w:val="003F1536"/>
    <w:rsid w:val="003F2C8E"/>
    <w:rsid w:val="003F304E"/>
    <w:rsid w:val="003F461D"/>
    <w:rsid w:val="003F49AA"/>
    <w:rsid w:val="003F4C67"/>
    <w:rsid w:val="003F542F"/>
    <w:rsid w:val="003F55D0"/>
    <w:rsid w:val="003F563C"/>
    <w:rsid w:val="003F6AE6"/>
    <w:rsid w:val="003F6D1B"/>
    <w:rsid w:val="00400556"/>
    <w:rsid w:val="0040305F"/>
    <w:rsid w:val="00404363"/>
    <w:rsid w:val="004055E6"/>
    <w:rsid w:val="00405867"/>
    <w:rsid w:val="00406A1A"/>
    <w:rsid w:val="00406FC6"/>
    <w:rsid w:val="00407A6A"/>
    <w:rsid w:val="00407D05"/>
    <w:rsid w:val="00412D8F"/>
    <w:rsid w:val="00413913"/>
    <w:rsid w:val="004141BA"/>
    <w:rsid w:val="004161ED"/>
    <w:rsid w:val="00420061"/>
    <w:rsid w:val="0042236C"/>
    <w:rsid w:val="004228F6"/>
    <w:rsid w:val="004232E3"/>
    <w:rsid w:val="00423821"/>
    <w:rsid w:val="00423F6E"/>
    <w:rsid w:val="0042437A"/>
    <w:rsid w:val="00426D3D"/>
    <w:rsid w:val="00426FF8"/>
    <w:rsid w:val="00427AF4"/>
    <w:rsid w:val="00427CC2"/>
    <w:rsid w:val="004301E7"/>
    <w:rsid w:val="00432842"/>
    <w:rsid w:val="00435D6F"/>
    <w:rsid w:val="00435F47"/>
    <w:rsid w:val="00437AD0"/>
    <w:rsid w:val="0044261A"/>
    <w:rsid w:val="00443AA2"/>
    <w:rsid w:val="00443DB8"/>
    <w:rsid w:val="004447E4"/>
    <w:rsid w:val="00444C83"/>
    <w:rsid w:val="00444F3D"/>
    <w:rsid w:val="00445ADD"/>
    <w:rsid w:val="00446F4A"/>
    <w:rsid w:val="00450E74"/>
    <w:rsid w:val="00450FD5"/>
    <w:rsid w:val="004516D6"/>
    <w:rsid w:val="00454535"/>
    <w:rsid w:val="00454D1B"/>
    <w:rsid w:val="00456164"/>
    <w:rsid w:val="004577FB"/>
    <w:rsid w:val="0046071D"/>
    <w:rsid w:val="004618D1"/>
    <w:rsid w:val="00463DA1"/>
    <w:rsid w:val="004641D1"/>
    <w:rsid w:val="0046456D"/>
    <w:rsid w:val="00465303"/>
    <w:rsid w:val="00465838"/>
    <w:rsid w:val="00466359"/>
    <w:rsid w:val="00466F44"/>
    <w:rsid w:val="004701A5"/>
    <w:rsid w:val="00470D33"/>
    <w:rsid w:val="00471393"/>
    <w:rsid w:val="00471663"/>
    <w:rsid w:val="00471DA4"/>
    <w:rsid w:val="004722DB"/>
    <w:rsid w:val="00472D53"/>
    <w:rsid w:val="004733D3"/>
    <w:rsid w:val="00473E27"/>
    <w:rsid w:val="0047413E"/>
    <w:rsid w:val="004744A2"/>
    <w:rsid w:val="00474A68"/>
    <w:rsid w:val="0047752A"/>
    <w:rsid w:val="00477C16"/>
    <w:rsid w:val="00477EF0"/>
    <w:rsid w:val="00480D4A"/>
    <w:rsid w:val="004810CB"/>
    <w:rsid w:val="004828AF"/>
    <w:rsid w:val="004835C0"/>
    <w:rsid w:val="00484528"/>
    <w:rsid w:val="00484CF6"/>
    <w:rsid w:val="00487000"/>
    <w:rsid w:val="0048717F"/>
    <w:rsid w:val="004872C9"/>
    <w:rsid w:val="00490CFF"/>
    <w:rsid w:val="00490D41"/>
    <w:rsid w:val="00490DD5"/>
    <w:rsid w:val="00491491"/>
    <w:rsid w:val="00491DA2"/>
    <w:rsid w:val="0049295C"/>
    <w:rsid w:val="00492A9D"/>
    <w:rsid w:val="00492D6D"/>
    <w:rsid w:val="004942AD"/>
    <w:rsid w:val="00497247"/>
    <w:rsid w:val="004A036E"/>
    <w:rsid w:val="004A0867"/>
    <w:rsid w:val="004A34F0"/>
    <w:rsid w:val="004A561C"/>
    <w:rsid w:val="004A5BDA"/>
    <w:rsid w:val="004B09A6"/>
    <w:rsid w:val="004B177D"/>
    <w:rsid w:val="004B285C"/>
    <w:rsid w:val="004B5BCF"/>
    <w:rsid w:val="004B64E9"/>
    <w:rsid w:val="004B7356"/>
    <w:rsid w:val="004C0263"/>
    <w:rsid w:val="004C280B"/>
    <w:rsid w:val="004C6BA6"/>
    <w:rsid w:val="004D04B7"/>
    <w:rsid w:val="004D0FC0"/>
    <w:rsid w:val="004D271D"/>
    <w:rsid w:val="004D3065"/>
    <w:rsid w:val="004D3F9B"/>
    <w:rsid w:val="004D5052"/>
    <w:rsid w:val="004D51D7"/>
    <w:rsid w:val="004D5917"/>
    <w:rsid w:val="004D5C0B"/>
    <w:rsid w:val="004D746F"/>
    <w:rsid w:val="004D74E6"/>
    <w:rsid w:val="004D7BED"/>
    <w:rsid w:val="004E3F2C"/>
    <w:rsid w:val="004E4367"/>
    <w:rsid w:val="004E519D"/>
    <w:rsid w:val="004E53E9"/>
    <w:rsid w:val="004E5831"/>
    <w:rsid w:val="004E5CDA"/>
    <w:rsid w:val="004E7F98"/>
    <w:rsid w:val="004F0AAE"/>
    <w:rsid w:val="00500707"/>
    <w:rsid w:val="005007A4"/>
    <w:rsid w:val="005008C0"/>
    <w:rsid w:val="00501EBD"/>
    <w:rsid w:val="00501F21"/>
    <w:rsid w:val="00503305"/>
    <w:rsid w:val="00503FC4"/>
    <w:rsid w:val="005056CE"/>
    <w:rsid w:val="0050685E"/>
    <w:rsid w:val="005076EE"/>
    <w:rsid w:val="00511467"/>
    <w:rsid w:val="00511B36"/>
    <w:rsid w:val="00512223"/>
    <w:rsid w:val="005127BC"/>
    <w:rsid w:val="00512C76"/>
    <w:rsid w:val="00513D92"/>
    <w:rsid w:val="00516E36"/>
    <w:rsid w:val="005170E9"/>
    <w:rsid w:val="00517A0E"/>
    <w:rsid w:val="0052185D"/>
    <w:rsid w:val="00522409"/>
    <w:rsid w:val="00522A6F"/>
    <w:rsid w:val="00522C79"/>
    <w:rsid w:val="00523CA4"/>
    <w:rsid w:val="005262E5"/>
    <w:rsid w:val="00526D34"/>
    <w:rsid w:val="00531894"/>
    <w:rsid w:val="00533D37"/>
    <w:rsid w:val="00534A28"/>
    <w:rsid w:val="0053622E"/>
    <w:rsid w:val="00536DF5"/>
    <w:rsid w:val="00540F1F"/>
    <w:rsid w:val="00540F79"/>
    <w:rsid w:val="00541F4F"/>
    <w:rsid w:val="005427BE"/>
    <w:rsid w:val="005437A3"/>
    <w:rsid w:val="00543B3A"/>
    <w:rsid w:val="0054514C"/>
    <w:rsid w:val="005457B9"/>
    <w:rsid w:val="00550AFD"/>
    <w:rsid w:val="00550C56"/>
    <w:rsid w:val="005512B0"/>
    <w:rsid w:val="00551495"/>
    <w:rsid w:val="005517A6"/>
    <w:rsid w:val="0055259B"/>
    <w:rsid w:val="00553037"/>
    <w:rsid w:val="00553D10"/>
    <w:rsid w:val="005549D9"/>
    <w:rsid w:val="005550A2"/>
    <w:rsid w:val="0055659E"/>
    <w:rsid w:val="005603DF"/>
    <w:rsid w:val="005613DF"/>
    <w:rsid w:val="00561A7E"/>
    <w:rsid w:val="00561F7D"/>
    <w:rsid w:val="00562FAA"/>
    <w:rsid w:val="00564117"/>
    <w:rsid w:val="005648F1"/>
    <w:rsid w:val="00565B55"/>
    <w:rsid w:val="0056670B"/>
    <w:rsid w:val="00566D93"/>
    <w:rsid w:val="00570431"/>
    <w:rsid w:val="005723F9"/>
    <w:rsid w:val="00574396"/>
    <w:rsid w:val="00575254"/>
    <w:rsid w:val="00575596"/>
    <w:rsid w:val="005756F5"/>
    <w:rsid w:val="00576030"/>
    <w:rsid w:val="005762B8"/>
    <w:rsid w:val="005772D4"/>
    <w:rsid w:val="00577DC8"/>
    <w:rsid w:val="00582ADC"/>
    <w:rsid w:val="00584EA7"/>
    <w:rsid w:val="0058754E"/>
    <w:rsid w:val="00587CB7"/>
    <w:rsid w:val="00587FD0"/>
    <w:rsid w:val="00592058"/>
    <w:rsid w:val="005922E9"/>
    <w:rsid w:val="005929AA"/>
    <w:rsid w:val="00592C19"/>
    <w:rsid w:val="00592FB2"/>
    <w:rsid w:val="00593270"/>
    <w:rsid w:val="005951A9"/>
    <w:rsid w:val="005979F4"/>
    <w:rsid w:val="005A1915"/>
    <w:rsid w:val="005A1B54"/>
    <w:rsid w:val="005A278E"/>
    <w:rsid w:val="005A3CA9"/>
    <w:rsid w:val="005A5B2C"/>
    <w:rsid w:val="005A7A9A"/>
    <w:rsid w:val="005B0277"/>
    <w:rsid w:val="005B3BE9"/>
    <w:rsid w:val="005B3EB7"/>
    <w:rsid w:val="005B7222"/>
    <w:rsid w:val="005C059F"/>
    <w:rsid w:val="005C0E69"/>
    <w:rsid w:val="005C1E69"/>
    <w:rsid w:val="005C2C0D"/>
    <w:rsid w:val="005C47EA"/>
    <w:rsid w:val="005C4C2E"/>
    <w:rsid w:val="005C653B"/>
    <w:rsid w:val="005D14DB"/>
    <w:rsid w:val="005D1CB3"/>
    <w:rsid w:val="005D4450"/>
    <w:rsid w:val="005D6E3F"/>
    <w:rsid w:val="005E1FB4"/>
    <w:rsid w:val="005E2A1F"/>
    <w:rsid w:val="005E3A55"/>
    <w:rsid w:val="005E46F0"/>
    <w:rsid w:val="005E58C5"/>
    <w:rsid w:val="005E64CA"/>
    <w:rsid w:val="005E73A8"/>
    <w:rsid w:val="005F088B"/>
    <w:rsid w:val="005F1647"/>
    <w:rsid w:val="005F1D3B"/>
    <w:rsid w:val="005F44D6"/>
    <w:rsid w:val="005F46BA"/>
    <w:rsid w:val="005F47B4"/>
    <w:rsid w:val="005F48E0"/>
    <w:rsid w:val="006002EA"/>
    <w:rsid w:val="00600F62"/>
    <w:rsid w:val="00601FBD"/>
    <w:rsid w:val="006033E3"/>
    <w:rsid w:val="0060399E"/>
    <w:rsid w:val="00605636"/>
    <w:rsid w:val="006070AE"/>
    <w:rsid w:val="00607CB1"/>
    <w:rsid w:val="00611399"/>
    <w:rsid w:val="006115BF"/>
    <w:rsid w:val="006138DA"/>
    <w:rsid w:val="00614844"/>
    <w:rsid w:val="00614C78"/>
    <w:rsid w:val="006154CD"/>
    <w:rsid w:val="00616E56"/>
    <w:rsid w:val="00616EE3"/>
    <w:rsid w:val="006175DB"/>
    <w:rsid w:val="00617D5D"/>
    <w:rsid w:val="00620453"/>
    <w:rsid w:val="006214BD"/>
    <w:rsid w:val="00621DA9"/>
    <w:rsid w:val="00621E59"/>
    <w:rsid w:val="006233F3"/>
    <w:rsid w:val="00623BC7"/>
    <w:rsid w:val="00623BF9"/>
    <w:rsid w:val="006248BA"/>
    <w:rsid w:val="00626235"/>
    <w:rsid w:val="0062641A"/>
    <w:rsid w:val="00626965"/>
    <w:rsid w:val="0062760A"/>
    <w:rsid w:val="00631393"/>
    <w:rsid w:val="0063380D"/>
    <w:rsid w:val="006378F0"/>
    <w:rsid w:val="00641397"/>
    <w:rsid w:val="0064217F"/>
    <w:rsid w:val="00642557"/>
    <w:rsid w:val="00644168"/>
    <w:rsid w:val="00644B34"/>
    <w:rsid w:val="00645EB8"/>
    <w:rsid w:val="006462F9"/>
    <w:rsid w:val="006466EF"/>
    <w:rsid w:val="00646F2B"/>
    <w:rsid w:val="0064751D"/>
    <w:rsid w:val="00647558"/>
    <w:rsid w:val="006476F6"/>
    <w:rsid w:val="00650372"/>
    <w:rsid w:val="0065198F"/>
    <w:rsid w:val="00656C06"/>
    <w:rsid w:val="00663532"/>
    <w:rsid w:val="00664677"/>
    <w:rsid w:val="006649A7"/>
    <w:rsid w:val="00666650"/>
    <w:rsid w:val="006700FF"/>
    <w:rsid w:val="006702EA"/>
    <w:rsid w:val="00671708"/>
    <w:rsid w:val="00671A5C"/>
    <w:rsid w:val="006833CA"/>
    <w:rsid w:val="006840B4"/>
    <w:rsid w:val="00684420"/>
    <w:rsid w:val="0068527B"/>
    <w:rsid w:val="0068765B"/>
    <w:rsid w:val="00690B97"/>
    <w:rsid w:val="0069177C"/>
    <w:rsid w:val="00691E71"/>
    <w:rsid w:val="0069271A"/>
    <w:rsid w:val="00692A90"/>
    <w:rsid w:val="006936B5"/>
    <w:rsid w:val="00694651"/>
    <w:rsid w:val="006946B5"/>
    <w:rsid w:val="00695295"/>
    <w:rsid w:val="006956CB"/>
    <w:rsid w:val="006975B4"/>
    <w:rsid w:val="006A2006"/>
    <w:rsid w:val="006A29C3"/>
    <w:rsid w:val="006A3BD0"/>
    <w:rsid w:val="006A3F8A"/>
    <w:rsid w:val="006A797E"/>
    <w:rsid w:val="006B02C3"/>
    <w:rsid w:val="006B2B92"/>
    <w:rsid w:val="006B3452"/>
    <w:rsid w:val="006B3AED"/>
    <w:rsid w:val="006B4484"/>
    <w:rsid w:val="006B4D04"/>
    <w:rsid w:val="006B5CFB"/>
    <w:rsid w:val="006B6560"/>
    <w:rsid w:val="006C0CFA"/>
    <w:rsid w:val="006C0D55"/>
    <w:rsid w:val="006C4F68"/>
    <w:rsid w:val="006C7AE6"/>
    <w:rsid w:val="006D1F6E"/>
    <w:rsid w:val="006D20EE"/>
    <w:rsid w:val="006D2289"/>
    <w:rsid w:val="006D23BB"/>
    <w:rsid w:val="006D32A9"/>
    <w:rsid w:val="006D3566"/>
    <w:rsid w:val="006D4425"/>
    <w:rsid w:val="006D558A"/>
    <w:rsid w:val="006D5BD3"/>
    <w:rsid w:val="006D70E1"/>
    <w:rsid w:val="006E161A"/>
    <w:rsid w:val="006E2115"/>
    <w:rsid w:val="006E3067"/>
    <w:rsid w:val="006E5F82"/>
    <w:rsid w:val="006F2056"/>
    <w:rsid w:val="006F4134"/>
    <w:rsid w:val="006F6CA2"/>
    <w:rsid w:val="0070010B"/>
    <w:rsid w:val="00702236"/>
    <w:rsid w:val="007024D2"/>
    <w:rsid w:val="007024E9"/>
    <w:rsid w:val="00702644"/>
    <w:rsid w:val="00702F35"/>
    <w:rsid w:val="0070320A"/>
    <w:rsid w:val="00703AF0"/>
    <w:rsid w:val="00703DC5"/>
    <w:rsid w:val="00704095"/>
    <w:rsid w:val="007058A9"/>
    <w:rsid w:val="00706448"/>
    <w:rsid w:val="00711070"/>
    <w:rsid w:val="00711528"/>
    <w:rsid w:val="007116A4"/>
    <w:rsid w:val="00712182"/>
    <w:rsid w:val="00712345"/>
    <w:rsid w:val="007129C0"/>
    <w:rsid w:val="00713835"/>
    <w:rsid w:val="007141DC"/>
    <w:rsid w:val="007144CB"/>
    <w:rsid w:val="00716190"/>
    <w:rsid w:val="00723113"/>
    <w:rsid w:val="007235E2"/>
    <w:rsid w:val="0072654B"/>
    <w:rsid w:val="00732D00"/>
    <w:rsid w:val="007354EF"/>
    <w:rsid w:val="0074306C"/>
    <w:rsid w:val="00743568"/>
    <w:rsid w:val="00743C33"/>
    <w:rsid w:val="00743E05"/>
    <w:rsid w:val="007449D1"/>
    <w:rsid w:val="00745135"/>
    <w:rsid w:val="00745411"/>
    <w:rsid w:val="0075151C"/>
    <w:rsid w:val="00753624"/>
    <w:rsid w:val="00753653"/>
    <w:rsid w:val="00754253"/>
    <w:rsid w:val="007542E5"/>
    <w:rsid w:val="00754513"/>
    <w:rsid w:val="00754D52"/>
    <w:rsid w:val="00755A56"/>
    <w:rsid w:val="00756410"/>
    <w:rsid w:val="0075662A"/>
    <w:rsid w:val="00756F39"/>
    <w:rsid w:val="00757F35"/>
    <w:rsid w:val="00760644"/>
    <w:rsid w:val="00762469"/>
    <w:rsid w:val="0076377E"/>
    <w:rsid w:val="00763CB0"/>
    <w:rsid w:val="00763E84"/>
    <w:rsid w:val="0076421E"/>
    <w:rsid w:val="00764412"/>
    <w:rsid w:val="00767E9F"/>
    <w:rsid w:val="0077093D"/>
    <w:rsid w:val="00770F62"/>
    <w:rsid w:val="00771D57"/>
    <w:rsid w:val="0077320C"/>
    <w:rsid w:val="007739D5"/>
    <w:rsid w:val="00775DAA"/>
    <w:rsid w:val="007763D3"/>
    <w:rsid w:val="00776DB9"/>
    <w:rsid w:val="00777E96"/>
    <w:rsid w:val="007809DF"/>
    <w:rsid w:val="00781294"/>
    <w:rsid w:val="007812C6"/>
    <w:rsid w:val="007823E4"/>
    <w:rsid w:val="00783390"/>
    <w:rsid w:val="0078388B"/>
    <w:rsid w:val="00786156"/>
    <w:rsid w:val="00786F12"/>
    <w:rsid w:val="00787B37"/>
    <w:rsid w:val="007922EF"/>
    <w:rsid w:val="00792739"/>
    <w:rsid w:val="007949DB"/>
    <w:rsid w:val="00795A7B"/>
    <w:rsid w:val="00797707"/>
    <w:rsid w:val="007A1BF8"/>
    <w:rsid w:val="007A3A13"/>
    <w:rsid w:val="007A4893"/>
    <w:rsid w:val="007A577C"/>
    <w:rsid w:val="007B246A"/>
    <w:rsid w:val="007B4452"/>
    <w:rsid w:val="007B4A2E"/>
    <w:rsid w:val="007B510D"/>
    <w:rsid w:val="007C082E"/>
    <w:rsid w:val="007C1C43"/>
    <w:rsid w:val="007C257C"/>
    <w:rsid w:val="007C35D1"/>
    <w:rsid w:val="007C385B"/>
    <w:rsid w:val="007C4561"/>
    <w:rsid w:val="007C4786"/>
    <w:rsid w:val="007C5145"/>
    <w:rsid w:val="007C591F"/>
    <w:rsid w:val="007C6699"/>
    <w:rsid w:val="007C7190"/>
    <w:rsid w:val="007D0B27"/>
    <w:rsid w:val="007D1FB9"/>
    <w:rsid w:val="007D2E54"/>
    <w:rsid w:val="007E061B"/>
    <w:rsid w:val="007E0B96"/>
    <w:rsid w:val="007E2740"/>
    <w:rsid w:val="007E29E6"/>
    <w:rsid w:val="007E464A"/>
    <w:rsid w:val="007E4A6C"/>
    <w:rsid w:val="007E53FA"/>
    <w:rsid w:val="007E7770"/>
    <w:rsid w:val="007F0DAA"/>
    <w:rsid w:val="007F1BE7"/>
    <w:rsid w:val="007F1E7A"/>
    <w:rsid w:val="007F3135"/>
    <w:rsid w:val="007F5135"/>
    <w:rsid w:val="007F6A5F"/>
    <w:rsid w:val="007F7A7D"/>
    <w:rsid w:val="00800330"/>
    <w:rsid w:val="00801EB2"/>
    <w:rsid w:val="008035C7"/>
    <w:rsid w:val="00803682"/>
    <w:rsid w:val="00805762"/>
    <w:rsid w:val="00805D35"/>
    <w:rsid w:val="00807E49"/>
    <w:rsid w:val="00807FA7"/>
    <w:rsid w:val="00807FC8"/>
    <w:rsid w:val="0081000B"/>
    <w:rsid w:val="0081023B"/>
    <w:rsid w:val="00810C76"/>
    <w:rsid w:val="00812A83"/>
    <w:rsid w:val="00814AEF"/>
    <w:rsid w:val="00815206"/>
    <w:rsid w:val="00821F3B"/>
    <w:rsid w:val="008240CD"/>
    <w:rsid w:val="00825B85"/>
    <w:rsid w:val="00826444"/>
    <w:rsid w:val="00827263"/>
    <w:rsid w:val="00827BCB"/>
    <w:rsid w:val="00827DB7"/>
    <w:rsid w:val="00830281"/>
    <w:rsid w:val="00830A71"/>
    <w:rsid w:val="0083156D"/>
    <w:rsid w:val="00831760"/>
    <w:rsid w:val="00831770"/>
    <w:rsid w:val="00831DCF"/>
    <w:rsid w:val="008322E1"/>
    <w:rsid w:val="0083245A"/>
    <w:rsid w:val="00833223"/>
    <w:rsid w:val="008350E8"/>
    <w:rsid w:val="00835929"/>
    <w:rsid w:val="00835DCC"/>
    <w:rsid w:val="008403A1"/>
    <w:rsid w:val="00841CD9"/>
    <w:rsid w:val="00844475"/>
    <w:rsid w:val="00844B53"/>
    <w:rsid w:val="008459F7"/>
    <w:rsid w:val="00845F62"/>
    <w:rsid w:val="00846D85"/>
    <w:rsid w:val="008509BE"/>
    <w:rsid w:val="00850E2E"/>
    <w:rsid w:val="0085117A"/>
    <w:rsid w:val="008521A9"/>
    <w:rsid w:val="00852418"/>
    <w:rsid w:val="00852E2A"/>
    <w:rsid w:val="008535A8"/>
    <w:rsid w:val="00853D53"/>
    <w:rsid w:val="00854E98"/>
    <w:rsid w:val="0085574E"/>
    <w:rsid w:val="00856EE9"/>
    <w:rsid w:val="00860D63"/>
    <w:rsid w:val="008629C1"/>
    <w:rsid w:val="00863BD0"/>
    <w:rsid w:val="00866FA4"/>
    <w:rsid w:val="008717BD"/>
    <w:rsid w:val="00871DD2"/>
    <w:rsid w:val="00873EFF"/>
    <w:rsid w:val="008743A2"/>
    <w:rsid w:val="008760D6"/>
    <w:rsid w:val="00877286"/>
    <w:rsid w:val="00880055"/>
    <w:rsid w:val="00880A28"/>
    <w:rsid w:val="00880BF4"/>
    <w:rsid w:val="00881000"/>
    <w:rsid w:val="008814B4"/>
    <w:rsid w:val="00883350"/>
    <w:rsid w:val="00884F06"/>
    <w:rsid w:val="00887498"/>
    <w:rsid w:val="00887BAB"/>
    <w:rsid w:val="00887D2C"/>
    <w:rsid w:val="0089089E"/>
    <w:rsid w:val="00890EAA"/>
    <w:rsid w:val="00891E3E"/>
    <w:rsid w:val="00892A35"/>
    <w:rsid w:val="00894E4F"/>
    <w:rsid w:val="0089628A"/>
    <w:rsid w:val="00896B32"/>
    <w:rsid w:val="00897107"/>
    <w:rsid w:val="008A1392"/>
    <w:rsid w:val="008A1E52"/>
    <w:rsid w:val="008A2FC2"/>
    <w:rsid w:val="008A529F"/>
    <w:rsid w:val="008A5768"/>
    <w:rsid w:val="008A66C6"/>
    <w:rsid w:val="008B02E1"/>
    <w:rsid w:val="008B37C0"/>
    <w:rsid w:val="008B3868"/>
    <w:rsid w:val="008B7DB4"/>
    <w:rsid w:val="008C10C5"/>
    <w:rsid w:val="008C19DE"/>
    <w:rsid w:val="008C1A56"/>
    <w:rsid w:val="008C2475"/>
    <w:rsid w:val="008C37BF"/>
    <w:rsid w:val="008C751C"/>
    <w:rsid w:val="008D197E"/>
    <w:rsid w:val="008D2C3D"/>
    <w:rsid w:val="008D5633"/>
    <w:rsid w:val="008D5904"/>
    <w:rsid w:val="008D6B2E"/>
    <w:rsid w:val="008D6C55"/>
    <w:rsid w:val="008D7D8A"/>
    <w:rsid w:val="008E049E"/>
    <w:rsid w:val="008E0B58"/>
    <w:rsid w:val="008E38E1"/>
    <w:rsid w:val="008F04AF"/>
    <w:rsid w:val="008F0C6D"/>
    <w:rsid w:val="008F106F"/>
    <w:rsid w:val="008F124D"/>
    <w:rsid w:val="008F1EAE"/>
    <w:rsid w:val="008F3AEB"/>
    <w:rsid w:val="008F58F3"/>
    <w:rsid w:val="008F6854"/>
    <w:rsid w:val="008F70AE"/>
    <w:rsid w:val="00900104"/>
    <w:rsid w:val="00902175"/>
    <w:rsid w:val="009022B1"/>
    <w:rsid w:val="00902839"/>
    <w:rsid w:val="0090377F"/>
    <w:rsid w:val="00904F25"/>
    <w:rsid w:val="0090572E"/>
    <w:rsid w:val="009076D6"/>
    <w:rsid w:val="00911A39"/>
    <w:rsid w:val="009136E3"/>
    <w:rsid w:val="00914C5D"/>
    <w:rsid w:val="00916B14"/>
    <w:rsid w:val="00917143"/>
    <w:rsid w:val="00917E7C"/>
    <w:rsid w:val="00920489"/>
    <w:rsid w:val="009205F4"/>
    <w:rsid w:val="00920D98"/>
    <w:rsid w:val="00920F51"/>
    <w:rsid w:val="009216EF"/>
    <w:rsid w:val="00921D0D"/>
    <w:rsid w:val="00923972"/>
    <w:rsid w:val="0092458A"/>
    <w:rsid w:val="00924AD6"/>
    <w:rsid w:val="00924CB5"/>
    <w:rsid w:val="00925217"/>
    <w:rsid w:val="009257E2"/>
    <w:rsid w:val="00927409"/>
    <w:rsid w:val="00934219"/>
    <w:rsid w:val="0094067C"/>
    <w:rsid w:val="00941AAF"/>
    <w:rsid w:val="00942EA4"/>
    <w:rsid w:val="00943344"/>
    <w:rsid w:val="00943B2D"/>
    <w:rsid w:val="00945141"/>
    <w:rsid w:val="009508ED"/>
    <w:rsid w:val="009509F2"/>
    <w:rsid w:val="009525AA"/>
    <w:rsid w:val="00954117"/>
    <w:rsid w:val="00954FAC"/>
    <w:rsid w:val="00955EDC"/>
    <w:rsid w:val="00956EEA"/>
    <w:rsid w:val="00957947"/>
    <w:rsid w:val="00957C94"/>
    <w:rsid w:val="00957E21"/>
    <w:rsid w:val="00961D1E"/>
    <w:rsid w:val="0096285E"/>
    <w:rsid w:val="0096569F"/>
    <w:rsid w:val="0096687D"/>
    <w:rsid w:val="009677CF"/>
    <w:rsid w:val="009711B1"/>
    <w:rsid w:val="00971BCD"/>
    <w:rsid w:val="009739E6"/>
    <w:rsid w:val="00974A11"/>
    <w:rsid w:val="009763ED"/>
    <w:rsid w:val="009768B1"/>
    <w:rsid w:val="00976B2C"/>
    <w:rsid w:val="009827EB"/>
    <w:rsid w:val="00982C4D"/>
    <w:rsid w:val="00985088"/>
    <w:rsid w:val="00985609"/>
    <w:rsid w:val="00986C2A"/>
    <w:rsid w:val="00987143"/>
    <w:rsid w:val="00992767"/>
    <w:rsid w:val="00993A73"/>
    <w:rsid w:val="00994617"/>
    <w:rsid w:val="00994686"/>
    <w:rsid w:val="0099562B"/>
    <w:rsid w:val="009957F5"/>
    <w:rsid w:val="00995ACD"/>
    <w:rsid w:val="009972FE"/>
    <w:rsid w:val="00997A28"/>
    <w:rsid w:val="009A09E9"/>
    <w:rsid w:val="009A11B0"/>
    <w:rsid w:val="009A23F1"/>
    <w:rsid w:val="009A2CF2"/>
    <w:rsid w:val="009A2DB7"/>
    <w:rsid w:val="009A5D00"/>
    <w:rsid w:val="009A5FE5"/>
    <w:rsid w:val="009A73B9"/>
    <w:rsid w:val="009B1B3D"/>
    <w:rsid w:val="009B3C8B"/>
    <w:rsid w:val="009B6E96"/>
    <w:rsid w:val="009B6EDF"/>
    <w:rsid w:val="009B7724"/>
    <w:rsid w:val="009B7B76"/>
    <w:rsid w:val="009B7DD8"/>
    <w:rsid w:val="009C07D8"/>
    <w:rsid w:val="009C2519"/>
    <w:rsid w:val="009C39B8"/>
    <w:rsid w:val="009C3DC3"/>
    <w:rsid w:val="009C43E1"/>
    <w:rsid w:val="009C5EE2"/>
    <w:rsid w:val="009D138A"/>
    <w:rsid w:val="009D3ECE"/>
    <w:rsid w:val="009D50CA"/>
    <w:rsid w:val="009D5CBE"/>
    <w:rsid w:val="009D6490"/>
    <w:rsid w:val="009D666F"/>
    <w:rsid w:val="009D6899"/>
    <w:rsid w:val="009E0249"/>
    <w:rsid w:val="009E2D40"/>
    <w:rsid w:val="009E31ED"/>
    <w:rsid w:val="009E41BB"/>
    <w:rsid w:val="009E48E4"/>
    <w:rsid w:val="009E5DA8"/>
    <w:rsid w:val="009E7A33"/>
    <w:rsid w:val="009E7C6F"/>
    <w:rsid w:val="009F0042"/>
    <w:rsid w:val="009F043E"/>
    <w:rsid w:val="009F082E"/>
    <w:rsid w:val="009F0A08"/>
    <w:rsid w:val="009F1B46"/>
    <w:rsid w:val="009F44F3"/>
    <w:rsid w:val="009F4C9E"/>
    <w:rsid w:val="009F7087"/>
    <w:rsid w:val="009F7EDF"/>
    <w:rsid w:val="00A01320"/>
    <w:rsid w:val="00A05526"/>
    <w:rsid w:val="00A05A3D"/>
    <w:rsid w:val="00A063CE"/>
    <w:rsid w:val="00A06412"/>
    <w:rsid w:val="00A075C7"/>
    <w:rsid w:val="00A07615"/>
    <w:rsid w:val="00A07F7E"/>
    <w:rsid w:val="00A1111F"/>
    <w:rsid w:val="00A11BD2"/>
    <w:rsid w:val="00A128B2"/>
    <w:rsid w:val="00A138D7"/>
    <w:rsid w:val="00A13B69"/>
    <w:rsid w:val="00A14782"/>
    <w:rsid w:val="00A16A67"/>
    <w:rsid w:val="00A17CC4"/>
    <w:rsid w:val="00A22843"/>
    <w:rsid w:val="00A228C3"/>
    <w:rsid w:val="00A23F57"/>
    <w:rsid w:val="00A26A8C"/>
    <w:rsid w:val="00A27DA7"/>
    <w:rsid w:val="00A304E9"/>
    <w:rsid w:val="00A304FC"/>
    <w:rsid w:val="00A3470F"/>
    <w:rsid w:val="00A347C3"/>
    <w:rsid w:val="00A353B4"/>
    <w:rsid w:val="00A36519"/>
    <w:rsid w:val="00A366CE"/>
    <w:rsid w:val="00A37464"/>
    <w:rsid w:val="00A379DD"/>
    <w:rsid w:val="00A37E6C"/>
    <w:rsid w:val="00A37F5A"/>
    <w:rsid w:val="00A42FA7"/>
    <w:rsid w:val="00A436EA"/>
    <w:rsid w:val="00A43B6F"/>
    <w:rsid w:val="00A44AA6"/>
    <w:rsid w:val="00A46428"/>
    <w:rsid w:val="00A46662"/>
    <w:rsid w:val="00A50E7B"/>
    <w:rsid w:val="00A52236"/>
    <w:rsid w:val="00A5368D"/>
    <w:rsid w:val="00A54E96"/>
    <w:rsid w:val="00A55831"/>
    <w:rsid w:val="00A608F1"/>
    <w:rsid w:val="00A60BB2"/>
    <w:rsid w:val="00A61C7D"/>
    <w:rsid w:val="00A620D2"/>
    <w:rsid w:val="00A6254B"/>
    <w:rsid w:val="00A63460"/>
    <w:rsid w:val="00A64F93"/>
    <w:rsid w:val="00A65130"/>
    <w:rsid w:val="00A65B0D"/>
    <w:rsid w:val="00A702E9"/>
    <w:rsid w:val="00A70840"/>
    <w:rsid w:val="00A72478"/>
    <w:rsid w:val="00A74154"/>
    <w:rsid w:val="00A764AE"/>
    <w:rsid w:val="00A767F1"/>
    <w:rsid w:val="00A76BA2"/>
    <w:rsid w:val="00A821F8"/>
    <w:rsid w:val="00A82395"/>
    <w:rsid w:val="00A82A74"/>
    <w:rsid w:val="00A83527"/>
    <w:rsid w:val="00A83E57"/>
    <w:rsid w:val="00A8444E"/>
    <w:rsid w:val="00A84DB9"/>
    <w:rsid w:val="00A85237"/>
    <w:rsid w:val="00A85D12"/>
    <w:rsid w:val="00A86BF8"/>
    <w:rsid w:val="00A8745D"/>
    <w:rsid w:val="00A875B0"/>
    <w:rsid w:val="00A879B6"/>
    <w:rsid w:val="00A906FD"/>
    <w:rsid w:val="00A90D11"/>
    <w:rsid w:val="00A91AE9"/>
    <w:rsid w:val="00A9395D"/>
    <w:rsid w:val="00A93F7E"/>
    <w:rsid w:val="00A95375"/>
    <w:rsid w:val="00A954A3"/>
    <w:rsid w:val="00A9584D"/>
    <w:rsid w:val="00A96A67"/>
    <w:rsid w:val="00AA1801"/>
    <w:rsid w:val="00AA3979"/>
    <w:rsid w:val="00AA39F0"/>
    <w:rsid w:val="00AA65DF"/>
    <w:rsid w:val="00AB19B3"/>
    <w:rsid w:val="00AB43D1"/>
    <w:rsid w:val="00AB4BAD"/>
    <w:rsid w:val="00AB5440"/>
    <w:rsid w:val="00AB6423"/>
    <w:rsid w:val="00AB65B6"/>
    <w:rsid w:val="00AC1153"/>
    <w:rsid w:val="00AC1208"/>
    <w:rsid w:val="00AC1820"/>
    <w:rsid w:val="00AC2922"/>
    <w:rsid w:val="00AC4EBC"/>
    <w:rsid w:val="00AC50BB"/>
    <w:rsid w:val="00AC56CE"/>
    <w:rsid w:val="00AC60BD"/>
    <w:rsid w:val="00AC787B"/>
    <w:rsid w:val="00AD04E2"/>
    <w:rsid w:val="00AD4729"/>
    <w:rsid w:val="00AD4CFF"/>
    <w:rsid w:val="00AD7B07"/>
    <w:rsid w:val="00AE0B2C"/>
    <w:rsid w:val="00AE3F49"/>
    <w:rsid w:val="00AE3F65"/>
    <w:rsid w:val="00AE4FED"/>
    <w:rsid w:val="00AE5522"/>
    <w:rsid w:val="00AE64C6"/>
    <w:rsid w:val="00AE73EA"/>
    <w:rsid w:val="00AF1C87"/>
    <w:rsid w:val="00AF3046"/>
    <w:rsid w:val="00AF6C77"/>
    <w:rsid w:val="00AF7E2C"/>
    <w:rsid w:val="00B01954"/>
    <w:rsid w:val="00B031C7"/>
    <w:rsid w:val="00B03741"/>
    <w:rsid w:val="00B05186"/>
    <w:rsid w:val="00B05BDD"/>
    <w:rsid w:val="00B102BE"/>
    <w:rsid w:val="00B12254"/>
    <w:rsid w:val="00B12778"/>
    <w:rsid w:val="00B12B58"/>
    <w:rsid w:val="00B142C5"/>
    <w:rsid w:val="00B15260"/>
    <w:rsid w:val="00B16F69"/>
    <w:rsid w:val="00B17EF1"/>
    <w:rsid w:val="00B21259"/>
    <w:rsid w:val="00B21E42"/>
    <w:rsid w:val="00B2336B"/>
    <w:rsid w:val="00B2348A"/>
    <w:rsid w:val="00B23D4E"/>
    <w:rsid w:val="00B24FA7"/>
    <w:rsid w:val="00B2525D"/>
    <w:rsid w:val="00B265B4"/>
    <w:rsid w:val="00B27AC5"/>
    <w:rsid w:val="00B3129C"/>
    <w:rsid w:val="00B32E10"/>
    <w:rsid w:val="00B3312F"/>
    <w:rsid w:val="00B33C28"/>
    <w:rsid w:val="00B34275"/>
    <w:rsid w:val="00B3624D"/>
    <w:rsid w:val="00B36D95"/>
    <w:rsid w:val="00B401AB"/>
    <w:rsid w:val="00B40ED7"/>
    <w:rsid w:val="00B410C0"/>
    <w:rsid w:val="00B41BF5"/>
    <w:rsid w:val="00B446E9"/>
    <w:rsid w:val="00B4779C"/>
    <w:rsid w:val="00B47E09"/>
    <w:rsid w:val="00B50F9D"/>
    <w:rsid w:val="00B5206A"/>
    <w:rsid w:val="00B52943"/>
    <w:rsid w:val="00B559BD"/>
    <w:rsid w:val="00B56109"/>
    <w:rsid w:val="00B56444"/>
    <w:rsid w:val="00B62960"/>
    <w:rsid w:val="00B64524"/>
    <w:rsid w:val="00B6586B"/>
    <w:rsid w:val="00B6626A"/>
    <w:rsid w:val="00B67889"/>
    <w:rsid w:val="00B73564"/>
    <w:rsid w:val="00B75092"/>
    <w:rsid w:val="00B7515A"/>
    <w:rsid w:val="00B7607B"/>
    <w:rsid w:val="00B76E0D"/>
    <w:rsid w:val="00B802FD"/>
    <w:rsid w:val="00B8111C"/>
    <w:rsid w:val="00B82122"/>
    <w:rsid w:val="00B82C5E"/>
    <w:rsid w:val="00B82DAF"/>
    <w:rsid w:val="00B82F37"/>
    <w:rsid w:val="00B85003"/>
    <w:rsid w:val="00B85F74"/>
    <w:rsid w:val="00B8712E"/>
    <w:rsid w:val="00B87531"/>
    <w:rsid w:val="00B91A07"/>
    <w:rsid w:val="00B92CC8"/>
    <w:rsid w:val="00B94166"/>
    <w:rsid w:val="00B946BE"/>
    <w:rsid w:val="00B963F5"/>
    <w:rsid w:val="00B9745C"/>
    <w:rsid w:val="00B97F61"/>
    <w:rsid w:val="00BA14EB"/>
    <w:rsid w:val="00BA2926"/>
    <w:rsid w:val="00BA3B74"/>
    <w:rsid w:val="00BA6086"/>
    <w:rsid w:val="00BA6CA9"/>
    <w:rsid w:val="00BA71A5"/>
    <w:rsid w:val="00BA7CA3"/>
    <w:rsid w:val="00BB04BA"/>
    <w:rsid w:val="00BB1B24"/>
    <w:rsid w:val="00BB4D0B"/>
    <w:rsid w:val="00BB4D64"/>
    <w:rsid w:val="00BB6C73"/>
    <w:rsid w:val="00BC0B5B"/>
    <w:rsid w:val="00BC0D42"/>
    <w:rsid w:val="00BC249C"/>
    <w:rsid w:val="00BC3505"/>
    <w:rsid w:val="00BC455F"/>
    <w:rsid w:val="00BC456A"/>
    <w:rsid w:val="00BC45BF"/>
    <w:rsid w:val="00BC6690"/>
    <w:rsid w:val="00BC6C7B"/>
    <w:rsid w:val="00BC7D5D"/>
    <w:rsid w:val="00BD1845"/>
    <w:rsid w:val="00BD5168"/>
    <w:rsid w:val="00BD54DE"/>
    <w:rsid w:val="00BD570D"/>
    <w:rsid w:val="00BD66AF"/>
    <w:rsid w:val="00BE01C3"/>
    <w:rsid w:val="00BE1A4D"/>
    <w:rsid w:val="00BE3BD1"/>
    <w:rsid w:val="00BE4128"/>
    <w:rsid w:val="00BE41AE"/>
    <w:rsid w:val="00BE4C98"/>
    <w:rsid w:val="00BE7686"/>
    <w:rsid w:val="00BE7832"/>
    <w:rsid w:val="00BF085E"/>
    <w:rsid w:val="00BF08BF"/>
    <w:rsid w:val="00BF1D2E"/>
    <w:rsid w:val="00BF2644"/>
    <w:rsid w:val="00BF265E"/>
    <w:rsid w:val="00BF2F97"/>
    <w:rsid w:val="00BF3499"/>
    <w:rsid w:val="00BF3A5E"/>
    <w:rsid w:val="00BF403E"/>
    <w:rsid w:val="00BF4385"/>
    <w:rsid w:val="00BF6FC8"/>
    <w:rsid w:val="00C00238"/>
    <w:rsid w:val="00C012CE"/>
    <w:rsid w:val="00C01614"/>
    <w:rsid w:val="00C03913"/>
    <w:rsid w:val="00C05A40"/>
    <w:rsid w:val="00C07CC9"/>
    <w:rsid w:val="00C1195F"/>
    <w:rsid w:val="00C124FD"/>
    <w:rsid w:val="00C16DF2"/>
    <w:rsid w:val="00C17FE7"/>
    <w:rsid w:val="00C20883"/>
    <w:rsid w:val="00C21089"/>
    <w:rsid w:val="00C21335"/>
    <w:rsid w:val="00C22E1B"/>
    <w:rsid w:val="00C25B7C"/>
    <w:rsid w:val="00C30228"/>
    <w:rsid w:val="00C329FF"/>
    <w:rsid w:val="00C32FA1"/>
    <w:rsid w:val="00C3303D"/>
    <w:rsid w:val="00C33061"/>
    <w:rsid w:val="00C330E5"/>
    <w:rsid w:val="00C34411"/>
    <w:rsid w:val="00C34D65"/>
    <w:rsid w:val="00C351C9"/>
    <w:rsid w:val="00C35693"/>
    <w:rsid w:val="00C40036"/>
    <w:rsid w:val="00C406FC"/>
    <w:rsid w:val="00C41B09"/>
    <w:rsid w:val="00C41E20"/>
    <w:rsid w:val="00C420DA"/>
    <w:rsid w:val="00C4224A"/>
    <w:rsid w:val="00C43E06"/>
    <w:rsid w:val="00C4522A"/>
    <w:rsid w:val="00C46260"/>
    <w:rsid w:val="00C50453"/>
    <w:rsid w:val="00C514F7"/>
    <w:rsid w:val="00C52975"/>
    <w:rsid w:val="00C52C3A"/>
    <w:rsid w:val="00C545DA"/>
    <w:rsid w:val="00C57A06"/>
    <w:rsid w:val="00C6082D"/>
    <w:rsid w:val="00C60994"/>
    <w:rsid w:val="00C61BCE"/>
    <w:rsid w:val="00C61E56"/>
    <w:rsid w:val="00C65176"/>
    <w:rsid w:val="00C66202"/>
    <w:rsid w:val="00C67C84"/>
    <w:rsid w:val="00C70ACA"/>
    <w:rsid w:val="00C70B73"/>
    <w:rsid w:val="00C7223A"/>
    <w:rsid w:val="00C73674"/>
    <w:rsid w:val="00C73E25"/>
    <w:rsid w:val="00C7401D"/>
    <w:rsid w:val="00C74745"/>
    <w:rsid w:val="00C7510A"/>
    <w:rsid w:val="00C775E5"/>
    <w:rsid w:val="00C802F6"/>
    <w:rsid w:val="00C80C0A"/>
    <w:rsid w:val="00C815AC"/>
    <w:rsid w:val="00C82A3C"/>
    <w:rsid w:val="00C8650F"/>
    <w:rsid w:val="00C8686F"/>
    <w:rsid w:val="00C875F4"/>
    <w:rsid w:val="00C91700"/>
    <w:rsid w:val="00C91C3E"/>
    <w:rsid w:val="00C91C67"/>
    <w:rsid w:val="00C92B04"/>
    <w:rsid w:val="00C92F5B"/>
    <w:rsid w:val="00C94F92"/>
    <w:rsid w:val="00C962D4"/>
    <w:rsid w:val="00CA1C37"/>
    <w:rsid w:val="00CA2AAD"/>
    <w:rsid w:val="00CA3FD1"/>
    <w:rsid w:val="00CA437F"/>
    <w:rsid w:val="00CA53F6"/>
    <w:rsid w:val="00CA58D0"/>
    <w:rsid w:val="00CA7CE3"/>
    <w:rsid w:val="00CB126B"/>
    <w:rsid w:val="00CB141E"/>
    <w:rsid w:val="00CB1985"/>
    <w:rsid w:val="00CB1B1D"/>
    <w:rsid w:val="00CB1E83"/>
    <w:rsid w:val="00CB429D"/>
    <w:rsid w:val="00CC018B"/>
    <w:rsid w:val="00CC1C67"/>
    <w:rsid w:val="00CC1FA3"/>
    <w:rsid w:val="00CC2F4B"/>
    <w:rsid w:val="00CC32AC"/>
    <w:rsid w:val="00CC547A"/>
    <w:rsid w:val="00CD02F9"/>
    <w:rsid w:val="00CD0E79"/>
    <w:rsid w:val="00CD100B"/>
    <w:rsid w:val="00CD122D"/>
    <w:rsid w:val="00CD19AB"/>
    <w:rsid w:val="00CD3388"/>
    <w:rsid w:val="00CD5477"/>
    <w:rsid w:val="00CD77A5"/>
    <w:rsid w:val="00CE004C"/>
    <w:rsid w:val="00CE0A5A"/>
    <w:rsid w:val="00CE1BA6"/>
    <w:rsid w:val="00CE7B9F"/>
    <w:rsid w:val="00CF0016"/>
    <w:rsid w:val="00CF0AF2"/>
    <w:rsid w:val="00CF20E4"/>
    <w:rsid w:val="00CF44E9"/>
    <w:rsid w:val="00CF59B8"/>
    <w:rsid w:val="00CF6A9A"/>
    <w:rsid w:val="00CF7119"/>
    <w:rsid w:val="00CF74CE"/>
    <w:rsid w:val="00CF7B0E"/>
    <w:rsid w:val="00D006E8"/>
    <w:rsid w:val="00D02583"/>
    <w:rsid w:val="00D03B0A"/>
    <w:rsid w:val="00D06DB8"/>
    <w:rsid w:val="00D10968"/>
    <w:rsid w:val="00D16607"/>
    <w:rsid w:val="00D1665C"/>
    <w:rsid w:val="00D16772"/>
    <w:rsid w:val="00D169FD"/>
    <w:rsid w:val="00D206CD"/>
    <w:rsid w:val="00D21F98"/>
    <w:rsid w:val="00D252D2"/>
    <w:rsid w:val="00D26348"/>
    <w:rsid w:val="00D26B2E"/>
    <w:rsid w:val="00D30000"/>
    <w:rsid w:val="00D31E45"/>
    <w:rsid w:val="00D34020"/>
    <w:rsid w:val="00D37DCC"/>
    <w:rsid w:val="00D37E95"/>
    <w:rsid w:val="00D40744"/>
    <w:rsid w:val="00D40FAE"/>
    <w:rsid w:val="00D415DA"/>
    <w:rsid w:val="00D41DFD"/>
    <w:rsid w:val="00D4207F"/>
    <w:rsid w:val="00D42A52"/>
    <w:rsid w:val="00D432A8"/>
    <w:rsid w:val="00D4382A"/>
    <w:rsid w:val="00D43B27"/>
    <w:rsid w:val="00D4424E"/>
    <w:rsid w:val="00D4456D"/>
    <w:rsid w:val="00D44B08"/>
    <w:rsid w:val="00D4588A"/>
    <w:rsid w:val="00D45955"/>
    <w:rsid w:val="00D46F70"/>
    <w:rsid w:val="00D476C3"/>
    <w:rsid w:val="00D506CA"/>
    <w:rsid w:val="00D516D1"/>
    <w:rsid w:val="00D52ECC"/>
    <w:rsid w:val="00D54282"/>
    <w:rsid w:val="00D57977"/>
    <w:rsid w:val="00D62DCB"/>
    <w:rsid w:val="00D6385B"/>
    <w:rsid w:val="00D63C42"/>
    <w:rsid w:val="00D6496A"/>
    <w:rsid w:val="00D67DF0"/>
    <w:rsid w:val="00D707DA"/>
    <w:rsid w:val="00D70EB4"/>
    <w:rsid w:val="00D70F1F"/>
    <w:rsid w:val="00D71DE1"/>
    <w:rsid w:val="00D72B79"/>
    <w:rsid w:val="00D73A58"/>
    <w:rsid w:val="00D80910"/>
    <w:rsid w:val="00D80960"/>
    <w:rsid w:val="00D8169D"/>
    <w:rsid w:val="00D81E8B"/>
    <w:rsid w:val="00D84836"/>
    <w:rsid w:val="00D85314"/>
    <w:rsid w:val="00D870E1"/>
    <w:rsid w:val="00D87888"/>
    <w:rsid w:val="00D8792E"/>
    <w:rsid w:val="00D91D2F"/>
    <w:rsid w:val="00D924E8"/>
    <w:rsid w:val="00D9548B"/>
    <w:rsid w:val="00D955E1"/>
    <w:rsid w:val="00D97022"/>
    <w:rsid w:val="00DA0311"/>
    <w:rsid w:val="00DA2FB6"/>
    <w:rsid w:val="00DA33B7"/>
    <w:rsid w:val="00DA41C5"/>
    <w:rsid w:val="00DA4B58"/>
    <w:rsid w:val="00DA4F29"/>
    <w:rsid w:val="00DA6AAB"/>
    <w:rsid w:val="00DA6C60"/>
    <w:rsid w:val="00DA77B4"/>
    <w:rsid w:val="00DB0EA0"/>
    <w:rsid w:val="00DB236A"/>
    <w:rsid w:val="00DB266B"/>
    <w:rsid w:val="00DB3EF2"/>
    <w:rsid w:val="00DB441B"/>
    <w:rsid w:val="00DB4B79"/>
    <w:rsid w:val="00DB50E9"/>
    <w:rsid w:val="00DB6A0F"/>
    <w:rsid w:val="00DB70D3"/>
    <w:rsid w:val="00DB74D2"/>
    <w:rsid w:val="00DC18E1"/>
    <w:rsid w:val="00DC2155"/>
    <w:rsid w:val="00DC2849"/>
    <w:rsid w:val="00DC35EA"/>
    <w:rsid w:val="00DC474C"/>
    <w:rsid w:val="00DC4C68"/>
    <w:rsid w:val="00DC50EE"/>
    <w:rsid w:val="00DC53BB"/>
    <w:rsid w:val="00DC592C"/>
    <w:rsid w:val="00DC7DA6"/>
    <w:rsid w:val="00DD1195"/>
    <w:rsid w:val="00DD1E8A"/>
    <w:rsid w:val="00DD211D"/>
    <w:rsid w:val="00DD27E9"/>
    <w:rsid w:val="00DD2AEE"/>
    <w:rsid w:val="00DD5DB5"/>
    <w:rsid w:val="00DD6BB4"/>
    <w:rsid w:val="00DD74FC"/>
    <w:rsid w:val="00DD7CD4"/>
    <w:rsid w:val="00DE01D9"/>
    <w:rsid w:val="00DE0D4B"/>
    <w:rsid w:val="00DE4ADC"/>
    <w:rsid w:val="00DE55F2"/>
    <w:rsid w:val="00DE7351"/>
    <w:rsid w:val="00DF3E4E"/>
    <w:rsid w:val="00DF5E6A"/>
    <w:rsid w:val="00DF6DE9"/>
    <w:rsid w:val="00DF7560"/>
    <w:rsid w:val="00E0053D"/>
    <w:rsid w:val="00E017F7"/>
    <w:rsid w:val="00E02538"/>
    <w:rsid w:val="00E03A17"/>
    <w:rsid w:val="00E0400D"/>
    <w:rsid w:val="00E0464A"/>
    <w:rsid w:val="00E04822"/>
    <w:rsid w:val="00E06CCB"/>
    <w:rsid w:val="00E06EC2"/>
    <w:rsid w:val="00E10661"/>
    <w:rsid w:val="00E13E17"/>
    <w:rsid w:val="00E13F45"/>
    <w:rsid w:val="00E15DA9"/>
    <w:rsid w:val="00E164EF"/>
    <w:rsid w:val="00E217D4"/>
    <w:rsid w:val="00E23B53"/>
    <w:rsid w:val="00E2654B"/>
    <w:rsid w:val="00E30B20"/>
    <w:rsid w:val="00E32693"/>
    <w:rsid w:val="00E36301"/>
    <w:rsid w:val="00E36E83"/>
    <w:rsid w:val="00E4068F"/>
    <w:rsid w:val="00E4069D"/>
    <w:rsid w:val="00E40975"/>
    <w:rsid w:val="00E40FE4"/>
    <w:rsid w:val="00E41DC0"/>
    <w:rsid w:val="00E42FC9"/>
    <w:rsid w:val="00E43B6A"/>
    <w:rsid w:val="00E45344"/>
    <w:rsid w:val="00E466CC"/>
    <w:rsid w:val="00E472E6"/>
    <w:rsid w:val="00E4750D"/>
    <w:rsid w:val="00E51D7F"/>
    <w:rsid w:val="00E520EA"/>
    <w:rsid w:val="00E524AB"/>
    <w:rsid w:val="00E526D7"/>
    <w:rsid w:val="00E5420C"/>
    <w:rsid w:val="00E56896"/>
    <w:rsid w:val="00E57D72"/>
    <w:rsid w:val="00E605F6"/>
    <w:rsid w:val="00E6144D"/>
    <w:rsid w:val="00E63497"/>
    <w:rsid w:val="00E63717"/>
    <w:rsid w:val="00E645F7"/>
    <w:rsid w:val="00E646D6"/>
    <w:rsid w:val="00E650F4"/>
    <w:rsid w:val="00E65A51"/>
    <w:rsid w:val="00E65CE2"/>
    <w:rsid w:val="00E660A4"/>
    <w:rsid w:val="00E6694E"/>
    <w:rsid w:val="00E70487"/>
    <w:rsid w:val="00E70758"/>
    <w:rsid w:val="00E7087E"/>
    <w:rsid w:val="00E70A03"/>
    <w:rsid w:val="00E7102E"/>
    <w:rsid w:val="00E72D7B"/>
    <w:rsid w:val="00E73076"/>
    <w:rsid w:val="00E73243"/>
    <w:rsid w:val="00E73786"/>
    <w:rsid w:val="00E7414F"/>
    <w:rsid w:val="00E7597A"/>
    <w:rsid w:val="00E7753C"/>
    <w:rsid w:val="00E821E1"/>
    <w:rsid w:val="00E84FEC"/>
    <w:rsid w:val="00E858D5"/>
    <w:rsid w:val="00E861FF"/>
    <w:rsid w:val="00E86FCE"/>
    <w:rsid w:val="00E910BE"/>
    <w:rsid w:val="00E94047"/>
    <w:rsid w:val="00E94548"/>
    <w:rsid w:val="00E979AF"/>
    <w:rsid w:val="00EA0146"/>
    <w:rsid w:val="00EA3096"/>
    <w:rsid w:val="00EA3848"/>
    <w:rsid w:val="00EA6E14"/>
    <w:rsid w:val="00EA7839"/>
    <w:rsid w:val="00EA7984"/>
    <w:rsid w:val="00EB3F87"/>
    <w:rsid w:val="00EB43D0"/>
    <w:rsid w:val="00EB56D0"/>
    <w:rsid w:val="00EB5825"/>
    <w:rsid w:val="00EB7537"/>
    <w:rsid w:val="00EC055C"/>
    <w:rsid w:val="00EC3E25"/>
    <w:rsid w:val="00EC3FF0"/>
    <w:rsid w:val="00EC4AA2"/>
    <w:rsid w:val="00EC510D"/>
    <w:rsid w:val="00EC5559"/>
    <w:rsid w:val="00EC5F11"/>
    <w:rsid w:val="00EC74C4"/>
    <w:rsid w:val="00ED1979"/>
    <w:rsid w:val="00ED30E8"/>
    <w:rsid w:val="00ED3F8F"/>
    <w:rsid w:val="00ED49E3"/>
    <w:rsid w:val="00ED50BE"/>
    <w:rsid w:val="00ED5110"/>
    <w:rsid w:val="00ED51CC"/>
    <w:rsid w:val="00EE0169"/>
    <w:rsid w:val="00EE0412"/>
    <w:rsid w:val="00EE0F88"/>
    <w:rsid w:val="00EE2452"/>
    <w:rsid w:val="00EE260A"/>
    <w:rsid w:val="00EE2ABA"/>
    <w:rsid w:val="00EE3C0B"/>
    <w:rsid w:val="00EE4E01"/>
    <w:rsid w:val="00EF011C"/>
    <w:rsid w:val="00EF1CAF"/>
    <w:rsid w:val="00EF5ABC"/>
    <w:rsid w:val="00F00C71"/>
    <w:rsid w:val="00F022CF"/>
    <w:rsid w:val="00F02BBB"/>
    <w:rsid w:val="00F02DFC"/>
    <w:rsid w:val="00F04016"/>
    <w:rsid w:val="00F04BF8"/>
    <w:rsid w:val="00F04F60"/>
    <w:rsid w:val="00F06799"/>
    <w:rsid w:val="00F06C9E"/>
    <w:rsid w:val="00F103E9"/>
    <w:rsid w:val="00F105E6"/>
    <w:rsid w:val="00F128A4"/>
    <w:rsid w:val="00F12F51"/>
    <w:rsid w:val="00F15BF4"/>
    <w:rsid w:val="00F178D9"/>
    <w:rsid w:val="00F20978"/>
    <w:rsid w:val="00F22FD9"/>
    <w:rsid w:val="00F23044"/>
    <w:rsid w:val="00F238F2"/>
    <w:rsid w:val="00F23BB4"/>
    <w:rsid w:val="00F255B4"/>
    <w:rsid w:val="00F26169"/>
    <w:rsid w:val="00F276F2"/>
    <w:rsid w:val="00F27AC4"/>
    <w:rsid w:val="00F33045"/>
    <w:rsid w:val="00F35FCE"/>
    <w:rsid w:val="00F40055"/>
    <w:rsid w:val="00F404FF"/>
    <w:rsid w:val="00F40C67"/>
    <w:rsid w:val="00F41A98"/>
    <w:rsid w:val="00F42564"/>
    <w:rsid w:val="00F42828"/>
    <w:rsid w:val="00F43694"/>
    <w:rsid w:val="00F44348"/>
    <w:rsid w:val="00F444B3"/>
    <w:rsid w:val="00F45B05"/>
    <w:rsid w:val="00F47422"/>
    <w:rsid w:val="00F478E0"/>
    <w:rsid w:val="00F47990"/>
    <w:rsid w:val="00F51FD5"/>
    <w:rsid w:val="00F54D3D"/>
    <w:rsid w:val="00F56441"/>
    <w:rsid w:val="00F56705"/>
    <w:rsid w:val="00F56A74"/>
    <w:rsid w:val="00F56D72"/>
    <w:rsid w:val="00F571EF"/>
    <w:rsid w:val="00F61260"/>
    <w:rsid w:val="00F62FCE"/>
    <w:rsid w:val="00F635B2"/>
    <w:rsid w:val="00F639FD"/>
    <w:rsid w:val="00F64CE5"/>
    <w:rsid w:val="00F65F27"/>
    <w:rsid w:val="00F668E2"/>
    <w:rsid w:val="00F71F52"/>
    <w:rsid w:val="00F727DC"/>
    <w:rsid w:val="00F73E12"/>
    <w:rsid w:val="00F75891"/>
    <w:rsid w:val="00F76165"/>
    <w:rsid w:val="00F81A6E"/>
    <w:rsid w:val="00F81EA8"/>
    <w:rsid w:val="00F83329"/>
    <w:rsid w:val="00F86971"/>
    <w:rsid w:val="00F86C92"/>
    <w:rsid w:val="00F8772A"/>
    <w:rsid w:val="00F9075F"/>
    <w:rsid w:val="00F90A21"/>
    <w:rsid w:val="00F90A29"/>
    <w:rsid w:val="00F90B85"/>
    <w:rsid w:val="00F921DA"/>
    <w:rsid w:val="00F92783"/>
    <w:rsid w:val="00F94C72"/>
    <w:rsid w:val="00F95FEA"/>
    <w:rsid w:val="00F969ED"/>
    <w:rsid w:val="00F96C6A"/>
    <w:rsid w:val="00F97288"/>
    <w:rsid w:val="00F97B82"/>
    <w:rsid w:val="00FA0939"/>
    <w:rsid w:val="00FA45AB"/>
    <w:rsid w:val="00FA5C9D"/>
    <w:rsid w:val="00FA633F"/>
    <w:rsid w:val="00FB15E8"/>
    <w:rsid w:val="00FB1ECC"/>
    <w:rsid w:val="00FB37C8"/>
    <w:rsid w:val="00FB4735"/>
    <w:rsid w:val="00FB63AD"/>
    <w:rsid w:val="00FC1103"/>
    <w:rsid w:val="00FC3634"/>
    <w:rsid w:val="00FC5A77"/>
    <w:rsid w:val="00FC5EAD"/>
    <w:rsid w:val="00FC6063"/>
    <w:rsid w:val="00FC669B"/>
    <w:rsid w:val="00FC69B7"/>
    <w:rsid w:val="00FC6E8E"/>
    <w:rsid w:val="00FD0F9B"/>
    <w:rsid w:val="00FD12C2"/>
    <w:rsid w:val="00FD2D27"/>
    <w:rsid w:val="00FD3797"/>
    <w:rsid w:val="00FD5368"/>
    <w:rsid w:val="00FD6873"/>
    <w:rsid w:val="00FE06AE"/>
    <w:rsid w:val="00FE1E19"/>
    <w:rsid w:val="00FE392C"/>
    <w:rsid w:val="00FE3EE3"/>
    <w:rsid w:val="00FE490D"/>
    <w:rsid w:val="00FE5621"/>
    <w:rsid w:val="00FE5B8B"/>
    <w:rsid w:val="00FE5D17"/>
    <w:rsid w:val="00FE6278"/>
    <w:rsid w:val="00FE6877"/>
    <w:rsid w:val="00FE6BD2"/>
    <w:rsid w:val="00FF07F4"/>
    <w:rsid w:val="00FF3BAF"/>
    <w:rsid w:val="00FF4B3B"/>
    <w:rsid w:val="00FF57E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AA8FB"/>
  <w15:chartTrackingRefBased/>
  <w15:docId w15:val="{DAF70635-BED4-4717-9655-7407FAF5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6F6"/>
    <w:pPr>
      <w:spacing w:after="160" w:line="259" w:lineRule="auto"/>
      <w:jc w:val="both"/>
    </w:pPr>
    <w:rPr>
      <w:rFonts w:ascii="Gill Sans MT" w:hAnsi="Gill Sans MT"/>
      <w:sz w:val="24"/>
      <w:szCs w:val="22"/>
      <w:lang w:eastAsia="en-US"/>
    </w:rPr>
  </w:style>
  <w:style w:type="paragraph" w:styleId="Ttulo1">
    <w:name w:val="heading 1"/>
    <w:basedOn w:val="Normal"/>
    <w:next w:val="Normal"/>
    <w:link w:val="Ttulo1Car"/>
    <w:uiPriority w:val="9"/>
    <w:qFormat/>
    <w:rsid w:val="0018742B"/>
    <w:pPr>
      <w:keepNext/>
      <w:keepLines/>
      <w:spacing w:before="240" w:after="0"/>
      <w:jc w:val="center"/>
      <w:outlineLvl w:val="0"/>
    </w:pPr>
    <w:rPr>
      <w:rFonts w:eastAsia="Times New Roman"/>
      <w:b/>
      <w:sz w:val="26"/>
      <w:szCs w:val="32"/>
    </w:rPr>
  </w:style>
  <w:style w:type="paragraph" w:styleId="Ttulo2">
    <w:name w:val="heading 2"/>
    <w:basedOn w:val="Normal"/>
    <w:next w:val="Normal"/>
    <w:link w:val="Ttulo2Car"/>
    <w:uiPriority w:val="9"/>
    <w:unhideWhenUsed/>
    <w:qFormat/>
    <w:rsid w:val="005B7222"/>
    <w:pPr>
      <w:keepNext/>
      <w:keepLines/>
      <w:spacing w:before="40" w:after="0"/>
      <w:outlineLvl w:val="1"/>
    </w:pPr>
    <w:rPr>
      <w:rFonts w:eastAsia="Times New Roman"/>
      <w:b/>
      <w:szCs w:val="26"/>
    </w:rPr>
  </w:style>
  <w:style w:type="paragraph" w:styleId="Ttulo3">
    <w:name w:val="heading 3"/>
    <w:basedOn w:val="Normal"/>
    <w:next w:val="Normal"/>
    <w:link w:val="Ttulo3Car"/>
    <w:uiPriority w:val="9"/>
    <w:unhideWhenUsed/>
    <w:qFormat/>
    <w:rsid w:val="00CF6A9A"/>
    <w:pPr>
      <w:keepNext/>
      <w:keepLines/>
      <w:spacing w:before="40" w:after="0"/>
      <w:outlineLvl w:val="2"/>
    </w:pPr>
    <w:rPr>
      <w:rFonts w:eastAsia="Times New Roman"/>
      <w:b/>
      <w:szCs w:val="24"/>
    </w:rPr>
  </w:style>
  <w:style w:type="paragraph" w:styleId="Ttulo4">
    <w:name w:val="heading 4"/>
    <w:basedOn w:val="Normal"/>
    <w:next w:val="Normal"/>
    <w:link w:val="Ttulo4Car"/>
    <w:uiPriority w:val="9"/>
    <w:semiHidden/>
    <w:unhideWhenUsed/>
    <w:qFormat/>
    <w:rsid w:val="00C43E06"/>
    <w:pPr>
      <w:keepNext/>
      <w:keepLines/>
      <w:spacing w:before="40" w:after="0"/>
      <w:outlineLvl w:val="3"/>
    </w:pPr>
    <w:rPr>
      <w:rFonts w:ascii="Aptos Display" w:eastAsia="Times New Roman" w:hAnsi="Aptos Display"/>
      <w:i/>
      <w:iCs/>
      <w:color w:val="0F47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F12"/>
    <w:pPr>
      <w:tabs>
        <w:tab w:val="center" w:pos="4419"/>
        <w:tab w:val="right" w:pos="8838"/>
      </w:tabs>
      <w:spacing w:after="0" w:line="240" w:lineRule="auto"/>
    </w:pPr>
  </w:style>
  <w:style w:type="character" w:customStyle="1" w:styleId="EncabezadoCar">
    <w:name w:val="Encabezado Car"/>
    <w:link w:val="Encabezado"/>
    <w:uiPriority w:val="99"/>
    <w:rsid w:val="00786F12"/>
    <w:rPr>
      <w:rFonts w:ascii="Gill Sans MT" w:hAnsi="Gill Sans MT"/>
      <w:sz w:val="24"/>
      <w:lang w:val="es-PE"/>
    </w:rPr>
  </w:style>
  <w:style w:type="paragraph" w:styleId="Piedepgina">
    <w:name w:val="footer"/>
    <w:basedOn w:val="Normal"/>
    <w:link w:val="PiedepginaCar"/>
    <w:uiPriority w:val="99"/>
    <w:unhideWhenUsed/>
    <w:rsid w:val="00786F12"/>
    <w:pPr>
      <w:tabs>
        <w:tab w:val="center" w:pos="4419"/>
        <w:tab w:val="right" w:pos="8838"/>
      </w:tabs>
      <w:spacing w:after="0" w:line="240" w:lineRule="auto"/>
    </w:pPr>
  </w:style>
  <w:style w:type="character" w:customStyle="1" w:styleId="PiedepginaCar">
    <w:name w:val="Pie de página Car"/>
    <w:link w:val="Piedepgina"/>
    <w:uiPriority w:val="99"/>
    <w:rsid w:val="00786F12"/>
    <w:rPr>
      <w:rFonts w:ascii="Gill Sans MT" w:hAnsi="Gill Sans MT"/>
      <w:sz w:val="24"/>
      <w:lang w:val="es-PE"/>
    </w:rPr>
  </w:style>
  <w:style w:type="character" w:customStyle="1" w:styleId="Ttulo1Car">
    <w:name w:val="Título 1 Car"/>
    <w:link w:val="Ttulo1"/>
    <w:uiPriority w:val="9"/>
    <w:rsid w:val="0018742B"/>
    <w:rPr>
      <w:rFonts w:ascii="Gill Sans MT" w:eastAsia="Times New Roman" w:hAnsi="Gill Sans MT" w:cs="Times New Roman"/>
      <w:b/>
      <w:sz w:val="26"/>
      <w:szCs w:val="32"/>
      <w:lang w:val="es-PE"/>
    </w:rPr>
  </w:style>
  <w:style w:type="paragraph" w:styleId="Sinespaciado">
    <w:name w:val="No Spacing"/>
    <w:aliases w:val="Resumen"/>
    <w:link w:val="SinespaciadoCar"/>
    <w:uiPriority w:val="1"/>
    <w:qFormat/>
    <w:rsid w:val="00745135"/>
    <w:pPr>
      <w:jc w:val="both"/>
    </w:pPr>
    <w:rPr>
      <w:rFonts w:ascii="Gill Sans MT" w:hAnsi="Gill Sans MT"/>
      <w:sz w:val="24"/>
      <w:szCs w:val="22"/>
      <w:lang w:eastAsia="en-US"/>
    </w:rPr>
  </w:style>
  <w:style w:type="character" w:customStyle="1" w:styleId="Ttulo2Car">
    <w:name w:val="Título 2 Car"/>
    <w:link w:val="Ttulo2"/>
    <w:uiPriority w:val="9"/>
    <w:rsid w:val="005B7222"/>
    <w:rPr>
      <w:rFonts w:ascii="Gill Sans MT" w:eastAsia="Times New Roman" w:hAnsi="Gill Sans MT" w:cs="Times New Roman"/>
      <w:b/>
      <w:sz w:val="24"/>
      <w:szCs w:val="26"/>
      <w:lang w:val="es-PE"/>
    </w:rPr>
  </w:style>
  <w:style w:type="character" w:styleId="Hipervnculo">
    <w:name w:val="Hyperlink"/>
    <w:uiPriority w:val="99"/>
    <w:unhideWhenUsed/>
    <w:rsid w:val="00170892"/>
    <w:rPr>
      <w:color w:val="auto"/>
      <w:u w:val="none"/>
    </w:rPr>
  </w:style>
  <w:style w:type="paragraph" w:styleId="Prrafodelista">
    <w:name w:val="List Paragraph"/>
    <w:basedOn w:val="Normal"/>
    <w:uiPriority w:val="34"/>
    <w:qFormat/>
    <w:rsid w:val="00702F35"/>
    <w:pPr>
      <w:ind w:left="720"/>
      <w:contextualSpacing/>
    </w:pPr>
  </w:style>
  <w:style w:type="character" w:styleId="Nmerodelnea">
    <w:name w:val="line number"/>
    <w:basedOn w:val="Fuentedeprrafopredeter"/>
    <w:uiPriority w:val="99"/>
    <w:semiHidden/>
    <w:unhideWhenUsed/>
    <w:rsid w:val="00F27AC4"/>
  </w:style>
  <w:style w:type="character" w:customStyle="1" w:styleId="Ttulo3Car">
    <w:name w:val="Título 3 Car"/>
    <w:link w:val="Ttulo3"/>
    <w:uiPriority w:val="9"/>
    <w:rsid w:val="00CF6A9A"/>
    <w:rPr>
      <w:rFonts w:ascii="Gill Sans MT" w:eastAsia="Times New Roman" w:hAnsi="Gill Sans MT" w:cs="Times New Roman"/>
      <w:b/>
      <w:sz w:val="24"/>
      <w:szCs w:val="24"/>
      <w:lang w:val="es-PE"/>
    </w:rPr>
  </w:style>
  <w:style w:type="paragraph" w:customStyle="1" w:styleId="p1a">
    <w:name w:val="p1a"/>
    <w:basedOn w:val="Normal"/>
    <w:next w:val="Normal"/>
    <w:rsid w:val="007116A4"/>
    <w:pPr>
      <w:overflowPunct w:val="0"/>
      <w:autoSpaceDE w:val="0"/>
      <w:autoSpaceDN w:val="0"/>
      <w:adjustRightInd w:val="0"/>
      <w:spacing w:after="0" w:line="240" w:lineRule="atLeast"/>
      <w:textAlignment w:val="baseline"/>
    </w:pPr>
    <w:rPr>
      <w:rFonts w:ascii="Times New Roman" w:eastAsia="Times New Roman" w:hAnsi="Times New Roman"/>
      <w:sz w:val="20"/>
      <w:szCs w:val="20"/>
    </w:rPr>
  </w:style>
  <w:style w:type="table" w:styleId="Tablaconcuadrcula">
    <w:name w:val="Table Grid"/>
    <w:basedOn w:val="Tablanormal"/>
    <w:uiPriority w:val="39"/>
    <w:rsid w:val="00CC5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uiPriority w:val="99"/>
    <w:semiHidden/>
    <w:rsid w:val="00471393"/>
    <w:rPr>
      <w:color w:val="808080"/>
    </w:rPr>
  </w:style>
  <w:style w:type="character" w:customStyle="1" w:styleId="heading3">
    <w:name w:val="heading3"/>
    <w:rsid w:val="004B177D"/>
    <w:rPr>
      <w:b/>
    </w:rPr>
  </w:style>
  <w:style w:type="table" w:customStyle="1" w:styleId="Tablaconcuadrcula2">
    <w:name w:val="Tabla con cuadrícula2"/>
    <w:basedOn w:val="Tablanormal"/>
    <w:next w:val="Tablaconcuadrcula"/>
    <w:uiPriority w:val="59"/>
    <w:rsid w:val="00F4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next w:val="Normal"/>
    <w:rsid w:val="00DF5E6A"/>
    <w:pPr>
      <w:overflowPunct w:val="0"/>
      <w:autoSpaceDE w:val="0"/>
      <w:autoSpaceDN w:val="0"/>
      <w:adjustRightInd w:val="0"/>
      <w:spacing w:after="200" w:line="220" w:lineRule="atLeast"/>
      <w:jc w:val="center"/>
      <w:textAlignment w:val="baseline"/>
    </w:pPr>
    <w:rPr>
      <w:rFonts w:ascii="Times New Roman" w:eastAsia="Times New Roman" w:hAnsi="Times New Roman"/>
      <w:sz w:val="20"/>
      <w:szCs w:val="20"/>
      <w:lang w:val="en-US"/>
    </w:rPr>
  </w:style>
  <w:style w:type="character" w:customStyle="1" w:styleId="ORCID">
    <w:name w:val="ORCID"/>
    <w:rsid w:val="00DF5E6A"/>
    <w:rPr>
      <w:position w:val="0"/>
      <w:vertAlign w:val="superscript"/>
    </w:rPr>
  </w:style>
  <w:style w:type="character" w:customStyle="1" w:styleId="SinespaciadoCar">
    <w:name w:val="Sin espaciado Car"/>
    <w:aliases w:val="Resumen Car"/>
    <w:link w:val="Sinespaciado"/>
    <w:uiPriority w:val="1"/>
    <w:rsid w:val="00C815AC"/>
    <w:rPr>
      <w:rFonts w:ascii="Gill Sans MT" w:hAnsi="Gill Sans MT"/>
      <w:sz w:val="24"/>
      <w:szCs w:val="22"/>
      <w:lang w:eastAsia="en-US"/>
    </w:rPr>
  </w:style>
  <w:style w:type="table" w:styleId="Tablaconcuadrcula5oscura">
    <w:name w:val="Grid Table 5 Dark"/>
    <w:basedOn w:val="Tablanormal"/>
    <w:uiPriority w:val="50"/>
    <w:rsid w:val="00A764A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Tablaconcuadrcula5oscura-nfasis1">
    <w:name w:val="Grid Table 5 Dark Accent 1"/>
    <w:basedOn w:val="Tablanormal"/>
    <w:uiPriority w:val="50"/>
    <w:rsid w:val="00A764A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5oscura-nfasis2">
    <w:name w:val="Grid Table 5 Dark Accent 2"/>
    <w:basedOn w:val="Tablanormal"/>
    <w:uiPriority w:val="50"/>
    <w:rsid w:val="00A764A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Tablaconcuadrcula5oscura-nfasis3">
    <w:name w:val="Grid Table 5 Dark Accent 3"/>
    <w:basedOn w:val="Tablanormal"/>
    <w:uiPriority w:val="50"/>
    <w:rsid w:val="00A764A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laconcuadrcula1clara-nfasis1">
    <w:name w:val="Grid Table 1 Light Accent 1"/>
    <w:basedOn w:val="Tablanormal"/>
    <w:uiPriority w:val="46"/>
    <w:rsid w:val="00A764AE"/>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A764A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LetraBlack">
    <w:name w:val="a.LetraBlack"/>
    <w:basedOn w:val="Normal"/>
    <w:link w:val="aLetraBlackCar"/>
    <w:qFormat/>
    <w:rsid w:val="004055E6"/>
    <w:pPr>
      <w:numPr>
        <w:numId w:val="9"/>
      </w:numPr>
      <w:autoSpaceDE w:val="0"/>
      <w:autoSpaceDN w:val="0"/>
      <w:adjustRightInd w:val="0"/>
      <w:spacing w:after="120" w:line="360" w:lineRule="auto"/>
      <w:ind w:left="284" w:hanging="284"/>
    </w:pPr>
    <w:rPr>
      <w:rFonts w:ascii="Arial" w:hAnsi="Arial" w:cs="Arial"/>
      <w:b/>
      <w:bCs/>
      <w:color w:val="000000"/>
      <w:szCs w:val="24"/>
    </w:rPr>
  </w:style>
  <w:style w:type="character" w:customStyle="1" w:styleId="aLetraBlackCar">
    <w:name w:val="a.LetraBlack Car"/>
    <w:link w:val="aLetraBlack"/>
    <w:rsid w:val="004055E6"/>
    <w:rPr>
      <w:rFonts w:ascii="Arial" w:eastAsia="Calibri" w:hAnsi="Arial" w:cs="Arial"/>
      <w:b/>
      <w:bCs/>
      <w:color w:val="000000"/>
      <w:sz w:val="24"/>
      <w:szCs w:val="24"/>
      <w:lang w:eastAsia="en-US"/>
    </w:rPr>
  </w:style>
  <w:style w:type="table" w:styleId="Tabladelista6concolores">
    <w:name w:val="List Table 6 Colorful"/>
    <w:aliases w:val="Tabla APA"/>
    <w:basedOn w:val="Tablanormal"/>
    <w:uiPriority w:val="51"/>
    <w:rsid w:val="00CA53F6"/>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APA1">
    <w:name w:val="Tabla APA1"/>
    <w:basedOn w:val="Tablanormal"/>
    <w:next w:val="Tabladelista6concolores"/>
    <w:uiPriority w:val="51"/>
    <w:rsid w:val="00131542"/>
    <w:rPr>
      <w:color w:val="000000"/>
      <w:sz w:val="22"/>
      <w:szCs w:val="22"/>
      <w:lang w:val="es-MX"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APA2">
    <w:name w:val="Tabla APA2"/>
    <w:basedOn w:val="Tablanormal"/>
    <w:next w:val="Tabladelista6concolores"/>
    <w:uiPriority w:val="51"/>
    <w:rsid w:val="00ED30E8"/>
    <w:rPr>
      <w:color w:val="000000"/>
      <w:sz w:val="22"/>
      <w:szCs w:val="22"/>
      <w:lang w:val="es-MX"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FiguraPie">
    <w:name w:val="FiguraPie"/>
    <w:basedOn w:val="Normal"/>
    <w:link w:val="FiguraPieCar"/>
    <w:qFormat/>
    <w:rsid w:val="00ED30E8"/>
    <w:pPr>
      <w:spacing w:after="240" w:line="240" w:lineRule="auto"/>
      <w:jc w:val="left"/>
    </w:pPr>
    <w:rPr>
      <w:rFonts w:ascii="Arial" w:hAnsi="Arial" w:cs="Arial"/>
      <w:sz w:val="22"/>
      <w:szCs w:val="24"/>
      <w:lang w:val="es-ES"/>
    </w:rPr>
  </w:style>
  <w:style w:type="character" w:customStyle="1" w:styleId="FiguraPieCar">
    <w:name w:val="FiguraPie Car"/>
    <w:link w:val="FiguraPie"/>
    <w:rsid w:val="00ED30E8"/>
    <w:rPr>
      <w:rFonts w:ascii="Arial" w:eastAsia="Calibri" w:hAnsi="Arial" w:cs="Arial"/>
      <w:sz w:val="22"/>
      <w:szCs w:val="24"/>
      <w:lang w:val="es-ES" w:eastAsia="en-US"/>
    </w:rPr>
  </w:style>
  <w:style w:type="table" w:customStyle="1" w:styleId="TablaAPA3">
    <w:name w:val="Tabla APA3"/>
    <w:basedOn w:val="Tablanormal"/>
    <w:next w:val="Tabladelista6concolores"/>
    <w:uiPriority w:val="51"/>
    <w:rsid w:val="00AE64C6"/>
    <w:rPr>
      <w:color w:val="000000"/>
      <w:sz w:val="22"/>
      <w:szCs w:val="22"/>
      <w:lang w:val="es-MX"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APA4">
    <w:name w:val="Tabla APA4"/>
    <w:basedOn w:val="Tablanormal"/>
    <w:next w:val="Tabladelista6concolores"/>
    <w:uiPriority w:val="51"/>
    <w:rsid w:val="00A128B2"/>
    <w:rPr>
      <w:color w:val="000000"/>
      <w:sz w:val="22"/>
      <w:szCs w:val="22"/>
      <w:lang w:val="es-MX"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Mencinsinresolver1">
    <w:name w:val="Mención sin resolver1"/>
    <w:uiPriority w:val="99"/>
    <w:semiHidden/>
    <w:unhideWhenUsed/>
    <w:rsid w:val="000E3755"/>
    <w:rPr>
      <w:color w:val="605E5C"/>
      <w:shd w:val="clear" w:color="auto" w:fill="E1DFDD"/>
    </w:rPr>
  </w:style>
  <w:style w:type="table" w:customStyle="1" w:styleId="TableGrid">
    <w:name w:val="TableGrid"/>
    <w:rsid w:val="00D67DF0"/>
    <w:rPr>
      <w:rFonts w:ascii="Aptos" w:eastAsia="Times New Roman" w:hAnsi="Aptos"/>
      <w:kern w:val="2"/>
      <w:sz w:val="24"/>
      <w:szCs w:val="24"/>
    </w:rPr>
    <w:tblPr>
      <w:tblCellMar>
        <w:top w:w="0" w:type="dxa"/>
        <w:left w:w="0" w:type="dxa"/>
        <w:bottom w:w="0" w:type="dxa"/>
        <w:right w:w="0" w:type="dxa"/>
      </w:tblCellMar>
    </w:tblPr>
  </w:style>
  <w:style w:type="table" w:customStyle="1" w:styleId="TableGrid1">
    <w:name w:val="TableGrid1"/>
    <w:rsid w:val="002366AC"/>
    <w:rPr>
      <w:rFonts w:ascii="Aptos" w:eastAsia="Times New Roman" w:hAnsi="Aptos"/>
      <w:kern w:val="2"/>
      <w:sz w:val="24"/>
      <w:szCs w:val="24"/>
    </w:rPr>
    <w:tblPr>
      <w:tblCellMar>
        <w:top w:w="0" w:type="dxa"/>
        <w:left w:w="0" w:type="dxa"/>
        <w:bottom w:w="0" w:type="dxa"/>
        <w:right w:w="0" w:type="dxa"/>
      </w:tblCellMar>
    </w:tblPr>
  </w:style>
  <w:style w:type="table" w:customStyle="1" w:styleId="TableGrid2">
    <w:name w:val="TableGrid2"/>
    <w:rsid w:val="000A36D3"/>
    <w:rPr>
      <w:rFonts w:ascii="Aptos" w:eastAsia="Times New Roman" w:hAnsi="Aptos" w:cs="Arial"/>
      <w:kern w:val="2"/>
      <w:sz w:val="24"/>
      <w:szCs w:val="24"/>
    </w:rPr>
    <w:tblPr>
      <w:tblCellMar>
        <w:top w:w="0" w:type="dxa"/>
        <w:left w:w="0" w:type="dxa"/>
        <w:bottom w:w="0" w:type="dxa"/>
        <w:right w:w="0" w:type="dxa"/>
      </w:tblCellMar>
    </w:tblPr>
  </w:style>
  <w:style w:type="paragraph" w:styleId="Descripcin">
    <w:name w:val="caption"/>
    <w:basedOn w:val="Normal"/>
    <w:next w:val="Normal"/>
    <w:uiPriority w:val="35"/>
    <w:unhideWhenUsed/>
    <w:qFormat/>
    <w:rsid w:val="00561A7E"/>
    <w:pPr>
      <w:spacing w:after="200" w:line="240" w:lineRule="auto"/>
    </w:pPr>
    <w:rPr>
      <w:i/>
      <w:iCs/>
      <w:color w:val="0E2841"/>
      <w:sz w:val="18"/>
      <w:szCs w:val="18"/>
    </w:rPr>
  </w:style>
  <w:style w:type="table" w:customStyle="1" w:styleId="TableGrid3">
    <w:name w:val="TableGrid3"/>
    <w:rsid w:val="005437A3"/>
    <w:rPr>
      <w:rFonts w:ascii="Aptos" w:eastAsia="Times New Roman" w:hAnsi="Aptos"/>
      <w:kern w:val="2"/>
      <w:sz w:val="24"/>
      <w:szCs w:val="24"/>
    </w:rPr>
    <w:tblPr>
      <w:tblCellMar>
        <w:top w:w="0" w:type="dxa"/>
        <w:left w:w="0" w:type="dxa"/>
        <w:bottom w:w="0" w:type="dxa"/>
        <w:right w:w="0" w:type="dxa"/>
      </w:tblCellMar>
    </w:tblPr>
  </w:style>
  <w:style w:type="table" w:customStyle="1" w:styleId="TableGrid4">
    <w:name w:val="TableGrid4"/>
    <w:rsid w:val="00EE2ABA"/>
    <w:rPr>
      <w:rFonts w:ascii="Aptos" w:eastAsia="Times New Roman" w:hAnsi="Aptos"/>
      <w:kern w:val="2"/>
      <w:sz w:val="24"/>
      <w:szCs w:val="24"/>
    </w:rPr>
    <w:tblPr>
      <w:tblCellMar>
        <w:top w:w="0" w:type="dxa"/>
        <w:left w:w="0" w:type="dxa"/>
        <w:bottom w:w="0" w:type="dxa"/>
        <w:right w:w="0" w:type="dxa"/>
      </w:tblCellMar>
    </w:tblPr>
  </w:style>
  <w:style w:type="table" w:customStyle="1" w:styleId="TableGrid5">
    <w:name w:val="TableGrid5"/>
    <w:rsid w:val="007C1C43"/>
    <w:rPr>
      <w:rFonts w:ascii="Aptos" w:eastAsia="Times New Roman" w:hAnsi="Aptos"/>
      <w:kern w:val="2"/>
      <w:sz w:val="24"/>
      <w:szCs w:val="24"/>
    </w:rPr>
    <w:tblPr>
      <w:tblCellMar>
        <w:top w:w="0" w:type="dxa"/>
        <w:left w:w="0" w:type="dxa"/>
        <w:bottom w:w="0" w:type="dxa"/>
        <w:right w:w="0" w:type="dxa"/>
      </w:tblCellMar>
    </w:tblPr>
  </w:style>
  <w:style w:type="table" w:customStyle="1" w:styleId="TableGrid6">
    <w:name w:val="TableGrid6"/>
    <w:rsid w:val="007C1C43"/>
    <w:rPr>
      <w:rFonts w:ascii="Aptos" w:eastAsia="DengXian" w:hAnsi="Aptos" w:cs="Arial"/>
      <w:kern w:val="2"/>
      <w:sz w:val="24"/>
      <w:szCs w:val="24"/>
    </w:rPr>
    <w:tblPr>
      <w:tblCellMar>
        <w:top w:w="0" w:type="dxa"/>
        <w:left w:w="0" w:type="dxa"/>
        <w:bottom w:w="0" w:type="dxa"/>
        <w:right w:w="0" w:type="dxa"/>
      </w:tblCellMar>
    </w:tblPr>
  </w:style>
  <w:style w:type="paragraph" w:styleId="Textoindependiente">
    <w:name w:val="Body Text"/>
    <w:basedOn w:val="Normal"/>
    <w:link w:val="TextoindependienteCar"/>
    <w:semiHidden/>
    <w:rsid w:val="00AC1820"/>
    <w:pPr>
      <w:suppressAutoHyphens/>
      <w:spacing w:after="0" w:line="240" w:lineRule="auto"/>
      <w:ind w:firstLine="567"/>
    </w:pPr>
    <w:rPr>
      <w:rFonts w:ascii="Times New Roman" w:eastAsia="Times New Roman" w:hAnsi="Times New Roman"/>
      <w:sz w:val="20"/>
      <w:szCs w:val="20"/>
      <w:lang w:val="en-US" w:eastAsia="ar-SA"/>
    </w:rPr>
  </w:style>
  <w:style w:type="character" w:customStyle="1" w:styleId="TextoindependienteCar">
    <w:name w:val="Texto independiente Car"/>
    <w:link w:val="Textoindependiente"/>
    <w:semiHidden/>
    <w:rsid w:val="00AC1820"/>
    <w:rPr>
      <w:rFonts w:ascii="Times New Roman" w:eastAsia="Times New Roman" w:hAnsi="Times New Roman"/>
      <w:lang w:val="en-US" w:eastAsia="ar-SA"/>
    </w:rPr>
  </w:style>
  <w:style w:type="paragraph" w:customStyle="1" w:styleId="Text">
    <w:name w:val="Text"/>
    <w:basedOn w:val="Normal"/>
    <w:rsid w:val="00AC1820"/>
    <w:pPr>
      <w:widowControl w:val="0"/>
      <w:suppressAutoHyphens/>
      <w:spacing w:after="0" w:line="252" w:lineRule="auto"/>
      <w:ind w:firstLine="240"/>
    </w:pPr>
    <w:rPr>
      <w:rFonts w:ascii="Times New Roman" w:eastAsia="Times New Roman" w:hAnsi="Times New Roman"/>
      <w:sz w:val="20"/>
      <w:szCs w:val="20"/>
      <w:lang w:val="en-US" w:eastAsia="ar-SA"/>
    </w:rPr>
  </w:style>
  <w:style w:type="table" w:customStyle="1" w:styleId="Tablaconcuadrcula1">
    <w:name w:val="Tabla con cuadrícula1"/>
    <w:basedOn w:val="Tablanormal"/>
    <w:next w:val="Tablaconcuadrcula"/>
    <w:uiPriority w:val="59"/>
    <w:rsid w:val="00AC1820"/>
    <w:pPr>
      <w:ind w:firstLine="567"/>
      <w:jc w:val="both"/>
    </w:pPr>
    <w:rPr>
      <w:rFonts w:ascii="Cambria" w:eastAsia="Times New Roman" w:hAnsi="Cambria"/>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uiPriority w:val="99"/>
    <w:semiHidden/>
    <w:unhideWhenUsed/>
    <w:rsid w:val="00AC1820"/>
    <w:rPr>
      <w:color w:val="605E5C"/>
      <w:shd w:val="clear" w:color="auto" w:fill="E1DFDD"/>
    </w:rPr>
  </w:style>
  <w:style w:type="paragraph" w:styleId="NormalWeb">
    <w:name w:val="Normal (Web)"/>
    <w:basedOn w:val="Normal"/>
    <w:uiPriority w:val="99"/>
    <w:unhideWhenUsed/>
    <w:rsid w:val="00AC1820"/>
    <w:pPr>
      <w:spacing w:before="100" w:beforeAutospacing="1" w:after="100" w:afterAutospacing="1" w:line="240" w:lineRule="auto"/>
      <w:jc w:val="left"/>
    </w:pPr>
    <w:rPr>
      <w:rFonts w:ascii="Times New Roman" w:eastAsia="Times New Roman" w:hAnsi="Times New Roman"/>
      <w:szCs w:val="24"/>
      <w:lang w:eastAsia="es-PE"/>
    </w:rPr>
  </w:style>
  <w:style w:type="character" w:styleId="Textoennegrita">
    <w:name w:val="Strong"/>
    <w:uiPriority w:val="22"/>
    <w:qFormat/>
    <w:rsid w:val="00AC1820"/>
    <w:rPr>
      <w:b/>
      <w:bCs/>
    </w:rPr>
  </w:style>
  <w:style w:type="character" w:styleId="Mencinsinresolver">
    <w:name w:val="Unresolved Mention"/>
    <w:uiPriority w:val="99"/>
    <w:semiHidden/>
    <w:unhideWhenUsed/>
    <w:rsid w:val="000A0935"/>
    <w:rPr>
      <w:color w:val="605E5C"/>
      <w:shd w:val="clear" w:color="auto" w:fill="E1DFDD"/>
    </w:rPr>
  </w:style>
  <w:style w:type="table" w:customStyle="1" w:styleId="TableNormal">
    <w:name w:val="Table Normal"/>
    <w:uiPriority w:val="2"/>
    <w:semiHidden/>
    <w:unhideWhenUsed/>
    <w:qFormat/>
    <w:rsid w:val="00BB4D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E27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C781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92C1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4522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70320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Ttulo4Car">
    <w:name w:val="Título 4 Car"/>
    <w:link w:val="Ttulo4"/>
    <w:uiPriority w:val="9"/>
    <w:semiHidden/>
    <w:rsid w:val="00C43E06"/>
    <w:rPr>
      <w:rFonts w:ascii="Aptos Display" w:eastAsia="Times New Roman" w:hAnsi="Aptos Display" w:cs="Times New Roman"/>
      <w:i/>
      <w:iCs/>
      <w:color w:val="0F4761"/>
      <w:sz w:val="24"/>
      <w:szCs w:val="22"/>
      <w:lang w:eastAsia="en-US"/>
    </w:rPr>
  </w:style>
  <w:style w:type="table" w:customStyle="1" w:styleId="TableGrid7">
    <w:name w:val="TableGrid7"/>
    <w:rsid w:val="00B82F37"/>
    <w:rPr>
      <w:rFonts w:ascii="Aptos" w:eastAsia="Times New Roman" w:hAnsi="Aptos"/>
      <w:kern w:val="2"/>
      <w:sz w:val="24"/>
      <w:szCs w:val="24"/>
    </w:rPr>
    <w:tblPr>
      <w:tblCellMar>
        <w:top w:w="0" w:type="dxa"/>
        <w:left w:w="0" w:type="dxa"/>
        <w:bottom w:w="0" w:type="dxa"/>
        <w:right w:w="0" w:type="dxa"/>
      </w:tblCellMar>
    </w:tblPr>
  </w:style>
  <w:style w:type="table" w:customStyle="1" w:styleId="TableGrid8">
    <w:name w:val="TableGrid8"/>
    <w:rsid w:val="00DA4B58"/>
    <w:rPr>
      <w:rFonts w:ascii="Aptos" w:eastAsia="Times New Roman" w:hAnsi="Aptos"/>
      <w:kern w:val="2"/>
      <w:sz w:val="24"/>
      <w:szCs w:val="24"/>
    </w:rPr>
    <w:tblPr>
      <w:tblCellMar>
        <w:top w:w="0" w:type="dxa"/>
        <w:left w:w="0" w:type="dxa"/>
        <w:bottom w:w="0" w:type="dxa"/>
        <w:right w:w="0" w:type="dxa"/>
      </w:tblCellMar>
    </w:tblPr>
  </w:style>
  <w:style w:type="table" w:customStyle="1" w:styleId="TableGrid9">
    <w:name w:val="TableGrid9"/>
    <w:rsid w:val="004733D3"/>
    <w:rPr>
      <w:rFonts w:ascii="Aptos" w:eastAsia="Times New Roman" w:hAnsi="Aptos"/>
      <w:kern w:val="2"/>
      <w:sz w:val="24"/>
      <w:szCs w:val="24"/>
    </w:rPr>
    <w:tblPr>
      <w:tblCellMar>
        <w:top w:w="0" w:type="dxa"/>
        <w:left w:w="0" w:type="dxa"/>
        <w:bottom w:w="0" w:type="dxa"/>
        <w:right w:w="0" w:type="dxa"/>
      </w:tblCellMar>
    </w:tblPr>
  </w:style>
  <w:style w:type="paragraph" w:customStyle="1" w:styleId="TableParagraph">
    <w:name w:val="Table Paragraph"/>
    <w:basedOn w:val="Normal"/>
    <w:uiPriority w:val="1"/>
    <w:qFormat/>
    <w:rsid w:val="00B03741"/>
    <w:pPr>
      <w:widowControl w:val="0"/>
      <w:autoSpaceDE w:val="0"/>
      <w:autoSpaceDN w:val="0"/>
      <w:spacing w:after="0" w:line="240" w:lineRule="auto"/>
      <w:jc w:val="left"/>
    </w:pPr>
    <w:rPr>
      <w:rFonts w:ascii="Microsoft Sans Serif" w:eastAsia="Microsoft Sans Serif" w:hAnsi="Microsoft Sans Serif" w:cs="Microsoft Sans Serif"/>
      <w:sz w:val="22"/>
      <w:lang w:val="es-ES"/>
    </w:rPr>
  </w:style>
  <w:style w:type="paragraph" w:customStyle="1" w:styleId="FirstParagraph">
    <w:name w:val="First Paragraph"/>
    <w:basedOn w:val="Textoindependiente"/>
    <w:next w:val="Textoindependiente"/>
    <w:qFormat/>
    <w:rsid w:val="00BF3499"/>
    <w:pPr>
      <w:suppressAutoHyphens w:val="0"/>
      <w:spacing w:before="180" w:after="180"/>
      <w:ind w:firstLine="0"/>
      <w:jc w:val="left"/>
    </w:pPr>
    <w:rPr>
      <w:rFonts w:asciiTheme="minorHAnsi" w:eastAsiaTheme="minorEastAsia" w:hAnsiTheme="minorHAnsi" w:cstheme="minorBidi"/>
      <w:sz w:val="24"/>
      <w:szCs w:val="24"/>
      <w:lang w:eastAsia="zh-CN"/>
    </w:rPr>
  </w:style>
  <w:style w:type="paragraph" w:customStyle="1" w:styleId="Compact">
    <w:name w:val="Compact"/>
    <w:basedOn w:val="Textoindependiente"/>
    <w:qFormat/>
    <w:rsid w:val="00BF3499"/>
    <w:pPr>
      <w:suppressAutoHyphens w:val="0"/>
      <w:spacing w:before="36" w:after="36"/>
      <w:ind w:firstLine="0"/>
      <w:jc w:val="left"/>
    </w:pPr>
    <w:rPr>
      <w:rFonts w:asciiTheme="minorHAnsi" w:eastAsiaTheme="minorEastAsia" w:hAnsiTheme="minorHAnsi" w:cstheme="minorBidi"/>
      <w:sz w:val="24"/>
      <w:szCs w:val="24"/>
      <w:lang w:eastAsia="zh-CN"/>
    </w:rPr>
  </w:style>
  <w:style w:type="table" w:customStyle="1" w:styleId="Table">
    <w:name w:val="Table"/>
    <w:semiHidden/>
    <w:qFormat/>
    <w:rsid w:val="00BF3499"/>
    <w:pPr>
      <w:spacing w:after="200"/>
    </w:pPr>
    <w:rPr>
      <w:rFonts w:asciiTheme="minorHAnsi" w:eastAsiaTheme="minorEastAsia" w:hAnsiTheme="minorHAnsi" w:cstheme="minorBidi"/>
      <w:sz w:val="24"/>
      <w:szCs w:val="24"/>
      <w:lang w:val="en-US" w:eastAsia="zh-CN"/>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2079">
      <w:bodyDiv w:val="1"/>
      <w:marLeft w:val="0"/>
      <w:marRight w:val="0"/>
      <w:marTop w:val="0"/>
      <w:marBottom w:val="0"/>
      <w:divBdr>
        <w:top w:val="none" w:sz="0" w:space="0" w:color="auto"/>
        <w:left w:val="none" w:sz="0" w:space="0" w:color="auto"/>
        <w:bottom w:val="none" w:sz="0" w:space="0" w:color="auto"/>
        <w:right w:val="none" w:sz="0" w:space="0" w:color="auto"/>
      </w:divBdr>
    </w:div>
    <w:div w:id="110981996">
      <w:bodyDiv w:val="1"/>
      <w:marLeft w:val="0"/>
      <w:marRight w:val="0"/>
      <w:marTop w:val="0"/>
      <w:marBottom w:val="0"/>
      <w:divBdr>
        <w:top w:val="none" w:sz="0" w:space="0" w:color="auto"/>
        <w:left w:val="none" w:sz="0" w:space="0" w:color="auto"/>
        <w:bottom w:val="none" w:sz="0" w:space="0" w:color="auto"/>
        <w:right w:val="none" w:sz="0" w:space="0" w:color="auto"/>
      </w:divBdr>
    </w:div>
    <w:div w:id="175583365">
      <w:bodyDiv w:val="1"/>
      <w:marLeft w:val="0"/>
      <w:marRight w:val="0"/>
      <w:marTop w:val="0"/>
      <w:marBottom w:val="0"/>
      <w:divBdr>
        <w:top w:val="none" w:sz="0" w:space="0" w:color="auto"/>
        <w:left w:val="none" w:sz="0" w:space="0" w:color="auto"/>
        <w:bottom w:val="none" w:sz="0" w:space="0" w:color="auto"/>
        <w:right w:val="none" w:sz="0" w:space="0" w:color="auto"/>
      </w:divBdr>
      <w:divsChild>
        <w:div w:id="147790139">
          <w:marLeft w:val="0"/>
          <w:marRight w:val="0"/>
          <w:marTop w:val="0"/>
          <w:marBottom w:val="0"/>
          <w:divBdr>
            <w:top w:val="none" w:sz="0" w:space="0" w:color="auto"/>
            <w:left w:val="none" w:sz="0" w:space="0" w:color="auto"/>
            <w:bottom w:val="none" w:sz="0" w:space="0" w:color="auto"/>
            <w:right w:val="none" w:sz="0" w:space="0" w:color="auto"/>
          </w:divBdr>
        </w:div>
        <w:div w:id="408619697">
          <w:marLeft w:val="0"/>
          <w:marRight w:val="0"/>
          <w:marTop w:val="0"/>
          <w:marBottom w:val="0"/>
          <w:divBdr>
            <w:top w:val="none" w:sz="0" w:space="0" w:color="auto"/>
            <w:left w:val="none" w:sz="0" w:space="0" w:color="auto"/>
            <w:bottom w:val="none" w:sz="0" w:space="0" w:color="auto"/>
            <w:right w:val="none" w:sz="0" w:space="0" w:color="auto"/>
          </w:divBdr>
        </w:div>
        <w:div w:id="604000156">
          <w:marLeft w:val="0"/>
          <w:marRight w:val="0"/>
          <w:marTop w:val="0"/>
          <w:marBottom w:val="0"/>
          <w:divBdr>
            <w:top w:val="none" w:sz="0" w:space="0" w:color="auto"/>
            <w:left w:val="none" w:sz="0" w:space="0" w:color="auto"/>
            <w:bottom w:val="none" w:sz="0" w:space="0" w:color="auto"/>
            <w:right w:val="none" w:sz="0" w:space="0" w:color="auto"/>
          </w:divBdr>
        </w:div>
        <w:div w:id="842474634">
          <w:marLeft w:val="0"/>
          <w:marRight w:val="0"/>
          <w:marTop w:val="0"/>
          <w:marBottom w:val="0"/>
          <w:divBdr>
            <w:top w:val="none" w:sz="0" w:space="0" w:color="auto"/>
            <w:left w:val="none" w:sz="0" w:space="0" w:color="auto"/>
            <w:bottom w:val="none" w:sz="0" w:space="0" w:color="auto"/>
            <w:right w:val="none" w:sz="0" w:space="0" w:color="auto"/>
          </w:divBdr>
        </w:div>
        <w:div w:id="899904815">
          <w:marLeft w:val="0"/>
          <w:marRight w:val="0"/>
          <w:marTop w:val="0"/>
          <w:marBottom w:val="0"/>
          <w:divBdr>
            <w:top w:val="none" w:sz="0" w:space="0" w:color="auto"/>
            <w:left w:val="none" w:sz="0" w:space="0" w:color="auto"/>
            <w:bottom w:val="none" w:sz="0" w:space="0" w:color="auto"/>
            <w:right w:val="none" w:sz="0" w:space="0" w:color="auto"/>
          </w:divBdr>
        </w:div>
        <w:div w:id="916016141">
          <w:marLeft w:val="0"/>
          <w:marRight w:val="0"/>
          <w:marTop w:val="0"/>
          <w:marBottom w:val="0"/>
          <w:divBdr>
            <w:top w:val="none" w:sz="0" w:space="0" w:color="auto"/>
            <w:left w:val="none" w:sz="0" w:space="0" w:color="auto"/>
            <w:bottom w:val="none" w:sz="0" w:space="0" w:color="auto"/>
            <w:right w:val="none" w:sz="0" w:space="0" w:color="auto"/>
          </w:divBdr>
        </w:div>
        <w:div w:id="932977127">
          <w:marLeft w:val="0"/>
          <w:marRight w:val="0"/>
          <w:marTop w:val="0"/>
          <w:marBottom w:val="0"/>
          <w:divBdr>
            <w:top w:val="none" w:sz="0" w:space="0" w:color="auto"/>
            <w:left w:val="none" w:sz="0" w:space="0" w:color="auto"/>
            <w:bottom w:val="none" w:sz="0" w:space="0" w:color="auto"/>
            <w:right w:val="none" w:sz="0" w:space="0" w:color="auto"/>
          </w:divBdr>
        </w:div>
        <w:div w:id="1076512607">
          <w:marLeft w:val="0"/>
          <w:marRight w:val="0"/>
          <w:marTop w:val="0"/>
          <w:marBottom w:val="0"/>
          <w:divBdr>
            <w:top w:val="none" w:sz="0" w:space="0" w:color="auto"/>
            <w:left w:val="none" w:sz="0" w:space="0" w:color="auto"/>
            <w:bottom w:val="none" w:sz="0" w:space="0" w:color="auto"/>
            <w:right w:val="none" w:sz="0" w:space="0" w:color="auto"/>
          </w:divBdr>
        </w:div>
        <w:div w:id="1727337287">
          <w:marLeft w:val="0"/>
          <w:marRight w:val="0"/>
          <w:marTop w:val="0"/>
          <w:marBottom w:val="0"/>
          <w:divBdr>
            <w:top w:val="none" w:sz="0" w:space="0" w:color="auto"/>
            <w:left w:val="none" w:sz="0" w:space="0" w:color="auto"/>
            <w:bottom w:val="none" w:sz="0" w:space="0" w:color="auto"/>
            <w:right w:val="none" w:sz="0" w:space="0" w:color="auto"/>
          </w:divBdr>
        </w:div>
        <w:div w:id="1741754005">
          <w:marLeft w:val="0"/>
          <w:marRight w:val="0"/>
          <w:marTop w:val="0"/>
          <w:marBottom w:val="0"/>
          <w:divBdr>
            <w:top w:val="none" w:sz="0" w:space="0" w:color="auto"/>
            <w:left w:val="none" w:sz="0" w:space="0" w:color="auto"/>
            <w:bottom w:val="none" w:sz="0" w:space="0" w:color="auto"/>
            <w:right w:val="none" w:sz="0" w:space="0" w:color="auto"/>
          </w:divBdr>
        </w:div>
        <w:div w:id="1820684906">
          <w:marLeft w:val="0"/>
          <w:marRight w:val="0"/>
          <w:marTop w:val="0"/>
          <w:marBottom w:val="0"/>
          <w:divBdr>
            <w:top w:val="none" w:sz="0" w:space="0" w:color="auto"/>
            <w:left w:val="none" w:sz="0" w:space="0" w:color="auto"/>
            <w:bottom w:val="none" w:sz="0" w:space="0" w:color="auto"/>
            <w:right w:val="none" w:sz="0" w:space="0" w:color="auto"/>
          </w:divBdr>
        </w:div>
        <w:div w:id="2028216873">
          <w:marLeft w:val="0"/>
          <w:marRight w:val="0"/>
          <w:marTop w:val="0"/>
          <w:marBottom w:val="0"/>
          <w:divBdr>
            <w:top w:val="none" w:sz="0" w:space="0" w:color="auto"/>
            <w:left w:val="none" w:sz="0" w:space="0" w:color="auto"/>
            <w:bottom w:val="none" w:sz="0" w:space="0" w:color="auto"/>
            <w:right w:val="none" w:sz="0" w:space="0" w:color="auto"/>
          </w:divBdr>
        </w:div>
        <w:div w:id="2067486236">
          <w:marLeft w:val="0"/>
          <w:marRight w:val="0"/>
          <w:marTop w:val="0"/>
          <w:marBottom w:val="0"/>
          <w:divBdr>
            <w:top w:val="none" w:sz="0" w:space="0" w:color="auto"/>
            <w:left w:val="none" w:sz="0" w:space="0" w:color="auto"/>
            <w:bottom w:val="none" w:sz="0" w:space="0" w:color="auto"/>
            <w:right w:val="none" w:sz="0" w:space="0" w:color="auto"/>
          </w:divBdr>
        </w:div>
      </w:divsChild>
    </w:div>
    <w:div w:id="180970271">
      <w:bodyDiv w:val="1"/>
      <w:marLeft w:val="0"/>
      <w:marRight w:val="0"/>
      <w:marTop w:val="0"/>
      <w:marBottom w:val="0"/>
      <w:divBdr>
        <w:top w:val="none" w:sz="0" w:space="0" w:color="auto"/>
        <w:left w:val="none" w:sz="0" w:space="0" w:color="auto"/>
        <w:bottom w:val="none" w:sz="0" w:space="0" w:color="auto"/>
        <w:right w:val="none" w:sz="0" w:space="0" w:color="auto"/>
      </w:divBdr>
    </w:div>
    <w:div w:id="188378431">
      <w:bodyDiv w:val="1"/>
      <w:marLeft w:val="0"/>
      <w:marRight w:val="0"/>
      <w:marTop w:val="0"/>
      <w:marBottom w:val="0"/>
      <w:divBdr>
        <w:top w:val="none" w:sz="0" w:space="0" w:color="auto"/>
        <w:left w:val="none" w:sz="0" w:space="0" w:color="auto"/>
        <w:bottom w:val="none" w:sz="0" w:space="0" w:color="auto"/>
        <w:right w:val="none" w:sz="0" w:space="0" w:color="auto"/>
      </w:divBdr>
    </w:div>
    <w:div w:id="323945079">
      <w:bodyDiv w:val="1"/>
      <w:marLeft w:val="0"/>
      <w:marRight w:val="0"/>
      <w:marTop w:val="0"/>
      <w:marBottom w:val="0"/>
      <w:divBdr>
        <w:top w:val="none" w:sz="0" w:space="0" w:color="auto"/>
        <w:left w:val="none" w:sz="0" w:space="0" w:color="auto"/>
        <w:bottom w:val="none" w:sz="0" w:space="0" w:color="auto"/>
        <w:right w:val="none" w:sz="0" w:space="0" w:color="auto"/>
      </w:divBdr>
      <w:divsChild>
        <w:div w:id="1094669814">
          <w:marLeft w:val="0"/>
          <w:marRight w:val="0"/>
          <w:marTop w:val="100"/>
          <w:marBottom w:val="0"/>
          <w:divBdr>
            <w:top w:val="none" w:sz="0" w:space="0" w:color="auto"/>
            <w:left w:val="none" w:sz="0" w:space="0" w:color="auto"/>
            <w:bottom w:val="none" w:sz="0" w:space="0" w:color="auto"/>
            <w:right w:val="none" w:sz="0" w:space="0" w:color="auto"/>
          </w:divBdr>
          <w:divsChild>
            <w:div w:id="1464538772">
              <w:marLeft w:val="0"/>
              <w:marRight w:val="0"/>
              <w:marTop w:val="0"/>
              <w:marBottom w:val="0"/>
              <w:divBdr>
                <w:top w:val="none" w:sz="0" w:space="0" w:color="auto"/>
                <w:left w:val="none" w:sz="0" w:space="0" w:color="auto"/>
                <w:bottom w:val="none" w:sz="0" w:space="0" w:color="auto"/>
                <w:right w:val="none" w:sz="0" w:space="0" w:color="auto"/>
              </w:divBdr>
              <w:divsChild>
                <w:div w:id="1658144088">
                  <w:marLeft w:val="0"/>
                  <w:marRight w:val="0"/>
                  <w:marTop w:val="0"/>
                  <w:marBottom w:val="0"/>
                  <w:divBdr>
                    <w:top w:val="none" w:sz="0" w:space="0" w:color="auto"/>
                    <w:left w:val="none" w:sz="0" w:space="0" w:color="auto"/>
                    <w:bottom w:val="none" w:sz="0" w:space="0" w:color="auto"/>
                    <w:right w:val="none" w:sz="0" w:space="0" w:color="auto"/>
                  </w:divBdr>
                  <w:divsChild>
                    <w:div w:id="655038575">
                      <w:marLeft w:val="0"/>
                      <w:marRight w:val="0"/>
                      <w:marTop w:val="0"/>
                      <w:marBottom w:val="0"/>
                      <w:divBdr>
                        <w:top w:val="none" w:sz="0" w:space="0" w:color="auto"/>
                        <w:left w:val="none" w:sz="0" w:space="0" w:color="auto"/>
                        <w:bottom w:val="none" w:sz="0" w:space="0" w:color="auto"/>
                        <w:right w:val="none" w:sz="0" w:space="0" w:color="auto"/>
                      </w:divBdr>
                      <w:divsChild>
                        <w:div w:id="195228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307293">
          <w:marLeft w:val="0"/>
          <w:marRight w:val="0"/>
          <w:marTop w:val="0"/>
          <w:marBottom w:val="0"/>
          <w:divBdr>
            <w:top w:val="none" w:sz="0" w:space="0" w:color="auto"/>
            <w:left w:val="none" w:sz="0" w:space="0" w:color="auto"/>
            <w:bottom w:val="none" w:sz="0" w:space="0" w:color="auto"/>
            <w:right w:val="none" w:sz="0" w:space="0" w:color="auto"/>
          </w:divBdr>
          <w:divsChild>
            <w:div w:id="1995260986">
              <w:marLeft w:val="0"/>
              <w:marRight w:val="0"/>
              <w:marTop w:val="0"/>
              <w:marBottom w:val="0"/>
              <w:divBdr>
                <w:top w:val="none" w:sz="0" w:space="0" w:color="auto"/>
                <w:left w:val="none" w:sz="0" w:space="0" w:color="auto"/>
                <w:bottom w:val="none" w:sz="0" w:space="0" w:color="auto"/>
                <w:right w:val="none" w:sz="0" w:space="0" w:color="auto"/>
              </w:divBdr>
              <w:divsChild>
                <w:div w:id="1958902802">
                  <w:marLeft w:val="0"/>
                  <w:marRight w:val="0"/>
                  <w:marTop w:val="0"/>
                  <w:marBottom w:val="0"/>
                  <w:divBdr>
                    <w:top w:val="none" w:sz="0" w:space="0" w:color="auto"/>
                    <w:left w:val="none" w:sz="0" w:space="0" w:color="auto"/>
                    <w:bottom w:val="none" w:sz="0" w:space="0" w:color="auto"/>
                    <w:right w:val="none" w:sz="0" w:space="0" w:color="auto"/>
                  </w:divBdr>
                  <w:divsChild>
                    <w:div w:id="20328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3801">
          <w:marLeft w:val="0"/>
          <w:marRight w:val="0"/>
          <w:marTop w:val="0"/>
          <w:marBottom w:val="0"/>
          <w:divBdr>
            <w:top w:val="none" w:sz="0" w:space="0" w:color="auto"/>
            <w:left w:val="none" w:sz="0" w:space="0" w:color="auto"/>
            <w:bottom w:val="none" w:sz="0" w:space="0" w:color="auto"/>
            <w:right w:val="none" w:sz="0" w:space="0" w:color="auto"/>
          </w:divBdr>
          <w:divsChild>
            <w:div w:id="1478650580">
              <w:marLeft w:val="0"/>
              <w:marRight w:val="0"/>
              <w:marTop w:val="0"/>
              <w:marBottom w:val="0"/>
              <w:divBdr>
                <w:top w:val="none" w:sz="0" w:space="0" w:color="auto"/>
                <w:left w:val="none" w:sz="0" w:space="0" w:color="auto"/>
                <w:bottom w:val="none" w:sz="0" w:space="0" w:color="auto"/>
                <w:right w:val="none" w:sz="0" w:space="0" w:color="auto"/>
              </w:divBdr>
              <w:divsChild>
                <w:div w:id="14882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56970">
      <w:bodyDiv w:val="1"/>
      <w:marLeft w:val="0"/>
      <w:marRight w:val="0"/>
      <w:marTop w:val="0"/>
      <w:marBottom w:val="0"/>
      <w:divBdr>
        <w:top w:val="none" w:sz="0" w:space="0" w:color="auto"/>
        <w:left w:val="none" w:sz="0" w:space="0" w:color="auto"/>
        <w:bottom w:val="none" w:sz="0" w:space="0" w:color="auto"/>
        <w:right w:val="none" w:sz="0" w:space="0" w:color="auto"/>
      </w:divBdr>
    </w:div>
    <w:div w:id="661544082">
      <w:bodyDiv w:val="1"/>
      <w:marLeft w:val="0"/>
      <w:marRight w:val="0"/>
      <w:marTop w:val="0"/>
      <w:marBottom w:val="0"/>
      <w:divBdr>
        <w:top w:val="none" w:sz="0" w:space="0" w:color="auto"/>
        <w:left w:val="none" w:sz="0" w:space="0" w:color="auto"/>
        <w:bottom w:val="none" w:sz="0" w:space="0" w:color="auto"/>
        <w:right w:val="none" w:sz="0" w:space="0" w:color="auto"/>
      </w:divBdr>
      <w:divsChild>
        <w:div w:id="57872082">
          <w:marLeft w:val="0"/>
          <w:marRight w:val="0"/>
          <w:marTop w:val="0"/>
          <w:marBottom w:val="0"/>
          <w:divBdr>
            <w:top w:val="none" w:sz="0" w:space="0" w:color="auto"/>
            <w:left w:val="none" w:sz="0" w:space="0" w:color="auto"/>
            <w:bottom w:val="none" w:sz="0" w:space="0" w:color="auto"/>
            <w:right w:val="none" w:sz="0" w:space="0" w:color="auto"/>
          </w:divBdr>
          <w:divsChild>
            <w:div w:id="1516771633">
              <w:marLeft w:val="0"/>
              <w:marRight w:val="0"/>
              <w:marTop w:val="0"/>
              <w:marBottom w:val="0"/>
              <w:divBdr>
                <w:top w:val="none" w:sz="0" w:space="0" w:color="auto"/>
                <w:left w:val="none" w:sz="0" w:space="0" w:color="auto"/>
                <w:bottom w:val="none" w:sz="0" w:space="0" w:color="auto"/>
                <w:right w:val="none" w:sz="0" w:space="0" w:color="auto"/>
              </w:divBdr>
              <w:divsChild>
                <w:div w:id="129637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1621">
          <w:marLeft w:val="0"/>
          <w:marRight w:val="0"/>
          <w:marTop w:val="100"/>
          <w:marBottom w:val="0"/>
          <w:divBdr>
            <w:top w:val="none" w:sz="0" w:space="0" w:color="auto"/>
            <w:left w:val="none" w:sz="0" w:space="0" w:color="auto"/>
            <w:bottom w:val="none" w:sz="0" w:space="0" w:color="auto"/>
            <w:right w:val="none" w:sz="0" w:space="0" w:color="auto"/>
          </w:divBdr>
        </w:div>
      </w:divsChild>
    </w:div>
    <w:div w:id="867839952">
      <w:bodyDiv w:val="1"/>
      <w:marLeft w:val="0"/>
      <w:marRight w:val="0"/>
      <w:marTop w:val="0"/>
      <w:marBottom w:val="0"/>
      <w:divBdr>
        <w:top w:val="none" w:sz="0" w:space="0" w:color="auto"/>
        <w:left w:val="none" w:sz="0" w:space="0" w:color="auto"/>
        <w:bottom w:val="none" w:sz="0" w:space="0" w:color="auto"/>
        <w:right w:val="none" w:sz="0" w:space="0" w:color="auto"/>
      </w:divBdr>
    </w:div>
    <w:div w:id="953629884">
      <w:bodyDiv w:val="1"/>
      <w:marLeft w:val="0"/>
      <w:marRight w:val="0"/>
      <w:marTop w:val="0"/>
      <w:marBottom w:val="0"/>
      <w:divBdr>
        <w:top w:val="none" w:sz="0" w:space="0" w:color="auto"/>
        <w:left w:val="none" w:sz="0" w:space="0" w:color="auto"/>
        <w:bottom w:val="none" w:sz="0" w:space="0" w:color="auto"/>
        <w:right w:val="none" w:sz="0" w:space="0" w:color="auto"/>
      </w:divBdr>
    </w:div>
    <w:div w:id="1033310466">
      <w:bodyDiv w:val="1"/>
      <w:marLeft w:val="0"/>
      <w:marRight w:val="0"/>
      <w:marTop w:val="0"/>
      <w:marBottom w:val="0"/>
      <w:divBdr>
        <w:top w:val="none" w:sz="0" w:space="0" w:color="auto"/>
        <w:left w:val="none" w:sz="0" w:space="0" w:color="auto"/>
        <w:bottom w:val="none" w:sz="0" w:space="0" w:color="auto"/>
        <w:right w:val="none" w:sz="0" w:space="0" w:color="auto"/>
      </w:divBdr>
      <w:divsChild>
        <w:div w:id="1714842630">
          <w:marLeft w:val="0"/>
          <w:marRight w:val="0"/>
          <w:marTop w:val="0"/>
          <w:marBottom w:val="0"/>
          <w:divBdr>
            <w:top w:val="none" w:sz="0" w:space="0" w:color="auto"/>
            <w:left w:val="none" w:sz="0" w:space="0" w:color="auto"/>
            <w:bottom w:val="none" w:sz="0" w:space="0" w:color="auto"/>
            <w:right w:val="none" w:sz="0" w:space="0" w:color="auto"/>
          </w:divBdr>
          <w:divsChild>
            <w:div w:id="814956828">
              <w:marLeft w:val="0"/>
              <w:marRight w:val="0"/>
              <w:marTop w:val="600"/>
              <w:marBottom w:val="0"/>
              <w:divBdr>
                <w:top w:val="single" w:sz="12" w:space="0" w:color="A6CE39"/>
                <w:left w:val="single" w:sz="12" w:space="9" w:color="A6CE39"/>
                <w:bottom w:val="single" w:sz="12" w:space="24" w:color="A6CE39"/>
                <w:right w:val="single" w:sz="12" w:space="9" w:color="A6CE39"/>
              </w:divBdr>
              <w:divsChild>
                <w:div w:id="1450974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58089282">
      <w:bodyDiv w:val="1"/>
      <w:marLeft w:val="0"/>
      <w:marRight w:val="0"/>
      <w:marTop w:val="0"/>
      <w:marBottom w:val="0"/>
      <w:divBdr>
        <w:top w:val="none" w:sz="0" w:space="0" w:color="auto"/>
        <w:left w:val="none" w:sz="0" w:space="0" w:color="auto"/>
        <w:bottom w:val="none" w:sz="0" w:space="0" w:color="auto"/>
        <w:right w:val="none" w:sz="0" w:space="0" w:color="auto"/>
      </w:divBdr>
    </w:div>
    <w:div w:id="1104686311">
      <w:bodyDiv w:val="1"/>
      <w:marLeft w:val="0"/>
      <w:marRight w:val="0"/>
      <w:marTop w:val="0"/>
      <w:marBottom w:val="0"/>
      <w:divBdr>
        <w:top w:val="none" w:sz="0" w:space="0" w:color="auto"/>
        <w:left w:val="none" w:sz="0" w:space="0" w:color="auto"/>
        <w:bottom w:val="none" w:sz="0" w:space="0" w:color="auto"/>
        <w:right w:val="none" w:sz="0" w:space="0" w:color="auto"/>
      </w:divBdr>
    </w:div>
    <w:div w:id="1367101087">
      <w:bodyDiv w:val="1"/>
      <w:marLeft w:val="0"/>
      <w:marRight w:val="0"/>
      <w:marTop w:val="0"/>
      <w:marBottom w:val="0"/>
      <w:divBdr>
        <w:top w:val="none" w:sz="0" w:space="0" w:color="auto"/>
        <w:left w:val="none" w:sz="0" w:space="0" w:color="auto"/>
        <w:bottom w:val="none" w:sz="0" w:space="0" w:color="auto"/>
        <w:right w:val="none" w:sz="0" w:space="0" w:color="auto"/>
      </w:divBdr>
    </w:div>
    <w:div w:id="1629705616">
      <w:bodyDiv w:val="1"/>
      <w:marLeft w:val="0"/>
      <w:marRight w:val="0"/>
      <w:marTop w:val="0"/>
      <w:marBottom w:val="0"/>
      <w:divBdr>
        <w:top w:val="none" w:sz="0" w:space="0" w:color="auto"/>
        <w:left w:val="none" w:sz="0" w:space="0" w:color="auto"/>
        <w:bottom w:val="none" w:sz="0" w:space="0" w:color="auto"/>
        <w:right w:val="none" w:sz="0" w:space="0" w:color="auto"/>
      </w:divBdr>
    </w:div>
    <w:div w:id="2124225645">
      <w:bodyDiv w:val="1"/>
      <w:marLeft w:val="0"/>
      <w:marRight w:val="0"/>
      <w:marTop w:val="0"/>
      <w:marBottom w:val="0"/>
      <w:divBdr>
        <w:top w:val="none" w:sz="0" w:space="0" w:color="auto"/>
        <w:left w:val="none" w:sz="0" w:space="0" w:color="auto"/>
        <w:bottom w:val="none" w:sz="0" w:space="0" w:color="auto"/>
        <w:right w:val="none" w:sz="0" w:space="0" w:color="auto"/>
      </w:divBdr>
    </w:div>
    <w:div w:id="213532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0990-1724" TargetMode="External"/><Relationship Id="rId13" Type="http://schemas.openxmlformats.org/officeDocument/2006/relationships/hyperlink" Target="https://orcid.org/0000-0003-4418-107X" TargetMode="External"/><Relationship Id="rId18" Type="http://schemas.openxmlformats.org/officeDocument/2006/relationships/hyperlink" Target="mailto:secastilloc@ucvvirtual.edu.p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0000-0003-4418-107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5094-3347"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rcid.org/0000-0001-6885-9207"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doi.org/10.55873/racs.v5i2.468"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doi.org/10.55873/racs.v5i2.468" TargetMode="External"/><Relationship Id="rId2" Type="http://schemas.openxmlformats.org/officeDocument/2006/relationships/image" Target="media/image2.png"/><Relationship Id="rId1" Type="http://schemas.openxmlformats.org/officeDocument/2006/relationships/hyperlink" Target="https://creativecommons.org/licenses/by/4.0/deed.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Rui20</b:Tag>
    <b:SourceType>JournalArticle</b:SourceType>
    <b:Guid>{1781D896-63CE-46EC-B36E-CD491E255162}</b:Guid>
    <b:Title>Motivación académica y procrastinación académica en estudiantes de una universidad pública de Guayaquil</b:Title>
    <b:Year>2020</b:Year>
    <b:Author>
      <b:Author>
        <b:NameList>
          <b:Person>
            <b:Last>Ruiz M.</b:Last>
            <b:First>Medina</b:First>
          </b:Person>
        </b:NameList>
      </b:Author>
    </b:Author>
    <b:City>Piura, Perú.</b:City>
    <b:RefOrder>12</b:RefOrder>
  </b:Source>
</b:Sources>
</file>

<file path=customXml/itemProps1.xml><?xml version="1.0" encoding="utf-8"?>
<ds:datastoreItem xmlns:ds="http://schemas.openxmlformats.org/officeDocument/2006/customXml" ds:itemID="{3FF33F47-AA3E-4A25-9C81-81CEB9ED8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12</Pages>
  <Words>30136</Words>
  <Characters>165748</Characters>
  <Application>Microsoft Office Word</Application>
  <DocSecurity>0</DocSecurity>
  <Lines>1381</Lines>
  <Paragraphs>390</Paragraphs>
  <ScaleCrop>false</ScaleCrop>
  <HeadingPairs>
    <vt:vector size="2" baseType="variant">
      <vt:variant>
        <vt:lpstr>Título</vt:lpstr>
      </vt:variant>
      <vt:variant>
        <vt:i4>1</vt:i4>
      </vt:variant>
    </vt:vector>
  </HeadingPairs>
  <TitlesOfParts>
    <vt:vector size="1" baseType="lpstr">
      <vt:lpstr>Gestión educativa y el desempeño docente en una institución educativa pública</vt:lpstr>
    </vt:vector>
  </TitlesOfParts>
  <Company/>
  <LinksUpToDate>false</LinksUpToDate>
  <CharactersWithSpaces>195494</CharactersWithSpaces>
  <SharedDoc>false</SharedDoc>
  <HLinks>
    <vt:vector size="108" baseType="variant">
      <vt:variant>
        <vt:i4>7733291</vt:i4>
      </vt:variant>
      <vt:variant>
        <vt:i4>39</vt:i4>
      </vt:variant>
      <vt:variant>
        <vt:i4>0</vt:i4>
      </vt:variant>
      <vt:variant>
        <vt:i4>5</vt:i4>
      </vt:variant>
      <vt:variant>
        <vt:lpwstr>http://repositorio.udh.edu.pe/123456789/502</vt:lpwstr>
      </vt:variant>
      <vt:variant>
        <vt:lpwstr/>
      </vt:variant>
      <vt:variant>
        <vt:i4>4915222</vt:i4>
      </vt:variant>
      <vt:variant>
        <vt:i4>36</vt:i4>
      </vt:variant>
      <vt:variant>
        <vt:i4>0</vt:i4>
      </vt:variant>
      <vt:variant>
        <vt:i4>5</vt:i4>
      </vt:variant>
      <vt:variant>
        <vt:lpwstr>https://doi.org/10.23857/dc.v2i4.275</vt:lpwstr>
      </vt:variant>
      <vt:variant>
        <vt:lpwstr/>
      </vt:variant>
      <vt:variant>
        <vt:i4>7143547</vt:i4>
      </vt:variant>
      <vt:variant>
        <vt:i4>33</vt:i4>
      </vt:variant>
      <vt:variant>
        <vt:i4>0</vt:i4>
      </vt:variant>
      <vt:variant>
        <vt:i4>5</vt:i4>
      </vt:variant>
      <vt:variant>
        <vt:lpwstr>http://repositorio.upeu.edu.pe/handle/20.500.12840/583</vt:lpwstr>
      </vt:variant>
      <vt:variant>
        <vt:lpwstr/>
      </vt:variant>
      <vt:variant>
        <vt:i4>3276923</vt:i4>
      </vt:variant>
      <vt:variant>
        <vt:i4>30</vt:i4>
      </vt:variant>
      <vt:variant>
        <vt:i4>0</vt:i4>
      </vt:variant>
      <vt:variant>
        <vt:i4>5</vt:i4>
      </vt:variant>
      <vt:variant>
        <vt:lpwstr>https://dialnet.unirioja.es/servlet/articulo?codigo=6566330</vt:lpwstr>
      </vt:variant>
      <vt:variant>
        <vt:lpwstr/>
      </vt:variant>
      <vt:variant>
        <vt:i4>5242902</vt:i4>
      </vt:variant>
      <vt:variant>
        <vt:i4>27</vt:i4>
      </vt:variant>
      <vt:variant>
        <vt:i4>0</vt:i4>
      </vt:variant>
      <vt:variant>
        <vt:i4>5</vt:i4>
      </vt:variant>
      <vt:variant>
        <vt:lpwstr>https://es.scribd.com/document/253825583/La-Comunicacion-Interna-Horizontal-Vertical-Otras-Oportunidades</vt:lpwstr>
      </vt:variant>
      <vt:variant>
        <vt:lpwstr/>
      </vt:variant>
      <vt:variant>
        <vt:i4>3604533</vt:i4>
      </vt:variant>
      <vt:variant>
        <vt:i4>24</vt:i4>
      </vt:variant>
      <vt:variant>
        <vt:i4>0</vt:i4>
      </vt:variant>
      <vt:variant>
        <vt:i4>5</vt:i4>
      </vt:variant>
      <vt:variant>
        <vt:lpwstr>https://corladlima.org.pe/wp-content/uploads/2025/03/COMPORTAMIENTO-HUMANO-EN-LAS-ORGANIZACIONES-DEL-NORTE-DEL-PERU.pdf</vt:lpwstr>
      </vt:variant>
      <vt:variant>
        <vt:lpwstr/>
      </vt:variant>
      <vt:variant>
        <vt:i4>7340143</vt:i4>
      </vt:variant>
      <vt:variant>
        <vt:i4>21</vt:i4>
      </vt:variant>
      <vt:variant>
        <vt:i4>0</vt:i4>
      </vt:variant>
      <vt:variant>
        <vt:i4>5</vt:i4>
      </vt:variant>
      <vt:variant>
        <vt:lpwstr>https://www.redalyc.org/articulo.oa?id=78245566005</vt:lpwstr>
      </vt:variant>
      <vt:variant>
        <vt:lpwstr/>
      </vt:variant>
      <vt:variant>
        <vt:i4>4849722</vt:i4>
      </vt:variant>
      <vt:variant>
        <vt:i4>18</vt:i4>
      </vt:variant>
      <vt:variant>
        <vt:i4>0</vt:i4>
      </vt:variant>
      <vt:variant>
        <vt:i4>5</vt:i4>
      </vt:variant>
      <vt:variant>
        <vt:lpwstr>mailto:sfuentes@upeu.edu.pe</vt:lpwstr>
      </vt:variant>
      <vt:variant>
        <vt:lpwstr/>
      </vt:variant>
      <vt:variant>
        <vt:i4>6160406</vt:i4>
      </vt:variant>
      <vt:variant>
        <vt:i4>15</vt:i4>
      </vt:variant>
      <vt:variant>
        <vt:i4>0</vt:i4>
      </vt:variant>
      <vt:variant>
        <vt:i4>5</vt:i4>
      </vt:variant>
      <vt:variant>
        <vt:lpwstr>https://orcid.org/0000-0003-4418-107X</vt:lpwstr>
      </vt:variant>
      <vt:variant>
        <vt:lpwstr/>
      </vt:variant>
      <vt:variant>
        <vt:i4>6160406</vt:i4>
      </vt:variant>
      <vt:variant>
        <vt:i4>12</vt:i4>
      </vt:variant>
      <vt:variant>
        <vt:i4>0</vt:i4>
      </vt:variant>
      <vt:variant>
        <vt:i4>5</vt:i4>
      </vt:variant>
      <vt:variant>
        <vt:lpwstr>https://orcid.org/0000-0003-4418-107X</vt:lpwstr>
      </vt:variant>
      <vt:variant>
        <vt:lpwstr/>
      </vt:variant>
      <vt:variant>
        <vt:i4>5242908</vt:i4>
      </vt:variant>
      <vt:variant>
        <vt:i4>9</vt:i4>
      </vt:variant>
      <vt:variant>
        <vt:i4>0</vt:i4>
      </vt:variant>
      <vt:variant>
        <vt:i4>5</vt:i4>
      </vt:variant>
      <vt:variant>
        <vt:lpwstr>https://orcid.org/0000-0002-7695-106X</vt:lpwstr>
      </vt:variant>
      <vt:variant>
        <vt:lpwstr/>
      </vt:variant>
      <vt:variant>
        <vt:i4>6160406</vt:i4>
      </vt:variant>
      <vt:variant>
        <vt:i4>6</vt:i4>
      </vt:variant>
      <vt:variant>
        <vt:i4>0</vt:i4>
      </vt:variant>
      <vt:variant>
        <vt:i4>5</vt:i4>
      </vt:variant>
      <vt:variant>
        <vt:lpwstr>https://orcid.org/0000-0003-4418-107X</vt:lpwstr>
      </vt:variant>
      <vt:variant>
        <vt:lpwstr/>
      </vt:variant>
      <vt:variant>
        <vt:i4>6160406</vt:i4>
      </vt:variant>
      <vt:variant>
        <vt:i4>3</vt:i4>
      </vt:variant>
      <vt:variant>
        <vt:i4>0</vt:i4>
      </vt:variant>
      <vt:variant>
        <vt:i4>5</vt:i4>
      </vt:variant>
      <vt:variant>
        <vt:lpwstr>https://orcid.org/0000-0003-4418-107X</vt:lpwstr>
      </vt:variant>
      <vt:variant>
        <vt:lpwstr/>
      </vt:variant>
      <vt:variant>
        <vt:i4>5373970</vt:i4>
      </vt:variant>
      <vt:variant>
        <vt:i4>0</vt:i4>
      </vt:variant>
      <vt:variant>
        <vt:i4>0</vt:i4>
      </vt:variant>
      <vt:variant>
        <vt:i4>5</vt:i4>
      </vt:variant>
      <vt:variant>
        <vt:lpwstr>https://orcid.org/0000-0003-1561-6644</vt:lpwstr>
      </vt:variant>
      <vt:variant>
        <vt:lpwstr/>
      </vt:variant>
      <vt:variant>
        <vt:i4>3932269</vt:i4>
      </vt:variant>
      <vt:variant>
        <vt:i4>9</vt:i4>
      </vt:variant>
      <vt:variant>
        <vt:i4>0</vt:i4>
      </vt:variant>
      <vt:variant>
        <vt:i4>5</vt:i4>
      </vt:variant>
      <vt:variant>
        <vt:lpwstr>https://doi.org/10.55873/racs.v4i1.396</vt:lpwstr>
      </vt:variant>
      <vt:variant>
        <vt:lpwstr/>
      </vt:variant>
      <vt:variant>
        <vt:i4>7078007</vt:i4>
      </vt:variant>
      <vt:variant>
        <vt:i4>6</vt:i4>
      </vt:variant>
      <vt:variant>
        <vt:i4>0</vt:i4>
      </vt:variant>
      <vt:variant>
        <vt:i4>5</vt:i4>
      </vt:variant>
      <vt:variant>
        <vt:lpwstr>https://doi.org/10.51252/rceyt.v1i1.269</vt:lpwstr>
      </vt:variant>
      <vt:variant>
        <vt:lpwstr/>
      </vt:variant>
      <vt:variant>
        <vt:i4>3932269</vt:i4>
      </vt:variant>
      <vt:variant>
        <vt:i4>3</vt:i4>
      </vt:variant>
      <vt:variant>
        <vt:i4>0</vt:i4>
      </vt:variant>
      <vt:variant>
        <vt:i4>5</vt:i4>
      </vt:variant>
      <vt:variant>
        <vt:lpwstr>https://doi.org/10.55873/racs.v4i1.396</vt:lpwstr>
      </vt:variant>
      <vt:variant>
        <vt:lpwstr/>
      </vt:variant>
      <vt:variant>
        <vt:i4>3473447</vt:i4>
      </vt:variant>
      <vt:variant>
        <vt:i4>-1</vt:i4>
      </vt:variant>
      <vt:variant>
        <vt:i4>1025</vt:i4>
      </vt:variant>
      <vt:variant>
        <vt:i4>4</vt:i4>
      </vt:variant>
      <vt:variant>
        <vt:lpwstr>https://creativecommons.org/licenses/by/4.0/deed.es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Asociación entre inteligencia emocional y comunicación interna en trabajadores de un establecimiento de salud de San Martín, Perú</dc:title>
  <dc:subject/>
  <dc:creator>Vera-Gutiérrez et al.</dc:creator>
  <cp:keywords/>
  <dc:description/>
  <cp:lastModifiedBy>unknown</cp:lastModifiedBy>
  <cp:revision>50</cp:revision>
  <cp:lastPrinted>2025-09-26T17:33:00Z</cp:lastPrinted>
  <dcterms:created xsi:type="dcterms:W3CDTF">2026-08-19T23:20:00Z</dcterms:created>
  <dcterms:modified xsi:type="dcterms:W3CDTF">2026-10-08T21:01:00Z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709d8eab-ecea-3f4e-9b58-986167d15c38</vt:lpwstr>
  </property>
  <property fmtid="{D5CDD505-2E9C-101B-9397-08002B2CF9AE}" pid="24" name="Mendeley Citation Style_1">
    <vt:lpwstr>http://www.zotero.org/styles/apa</vt:lpwstr>
  </property>
</Properties>
</file>